
<file path=[Content_Types].xml><?xml version="1.0" encoding="utf-8"?>
<Types xmlns="http://schemas.openxmlformats.org/package/2006/content-types">
  <Default Extension="rels" ContentType="application/vnd.openxmlformats-package.relationships+xml"/>
  <Default Extension="xml" ContentType="application/xml"/>
  <Default Extension="psdsor" ContentType="application/vnd.openxmlformats-package.digital-signature-origin"/>
  <Default Extension="psdsxs" ContentType="application/vnd.openxmlformats-package.digital-signature-xmlsignature+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package/2006/relationships/digital-signature/origin" Target="/package/services/digital-signature/origin.psdsor" Id="Re8f232f8b7104020"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532E" w:rsidRPr="0033036C" w:rsidRDefault="0060532E" w:rsidP="0060532E">
      <w:pPr>
        <w:shd w:val="clear" w:color="auto" w:fill="FFFFFF"/>
        <w:spacing w:before="120" w:after="0" w:line="240" w:lineRule="auto"/>
        <w:jc w:val="center"/>
        <w:rPr>
          <w:rFonts w:ascii="Arial" w:hAnsi="Arial" w:cs="Arial"/>
          <w:b/>
          <w:sz w:val="20"/>
          <w:szCs w:val="26"/>
          <w:lang w:val="nl-NL"/>
        </w:rPr>
      </w:pPr>
      <w:r w:rsidRPr="0033036C">
        <w:rPr>
          <w:rFonts w:ascii="Arial" w:hAnsi="Arial" w:cs="Arial"/>
          <w:b/>
          <w:sz w:val="20"/>
          <w:szCs w:val="26"/>
          <w:lang w:val="nl-NL"/>
        </w:rPr>
        <w:t>MẪU VÀ GIẢI THÍCH BÁO CÁO TÀI CHÍNH</w:t>
      </w:r>
    </w:p>
    <w:p w:rsidR="0060532E" w:rsidRPr="0033036C" w:rsidRDefault="0060532E" w:rsidP="0060532E">
      <w:pPr>
        <w:shd w:val="clear" w:color="auto" w:fill="FFFFFF"/>
        <w:tabs>
          <w:tab w:val="left" w:pos="540"/>
        </w:tabs>
        <w:spacing w:before="120" w:after="0" w:line="240" w:lineRule="auto"/>
        <w:rPr>
          <w:rFonts w:ascii="Arial" w:hAnsi="Arial" w:cs="Arial"/>
          <w:b/>
          <w:sz w:val="20"/>
          <w:szCs w:val="26"/>
          <w:lang w:val="nl-NL"/>
        </w:rPr>
      </w:pPr>
      <w:r w:rsidRPr="0033036C">
        <w:rPr>
          <w:rFonts w:ascii="Arial" w:hAnsi="Arial" w:cs="Arial"/>
          <w:b/>
          <w:sz w:val="20"/>
          <w:szCs w:val="26"/>
          <w:lang w:val="nl-NL"/>
        </w:rPr>
        <w:t>Phần I: Mẫu báo cáo của Công ty quản lý quỹ</w:t>
      </w:r>
    </w:p>
    <w:p w:rsidR="0060532E" w:rsidRDefault="0060532E" w:rsidP="0060532E">
      <w:pPr>
        <w:shd w:val="clear" w:color="auto" w:fill="FFFFFF"/>
        <w:tabs>
          <w:tab w:val="left" w:pos="540"/>
        </w:tabs>
        <w:spacing w:before="120" w:after="0" w:line="240" w:lineRule="auto"/>
        <w:jc w:val="center"/>
        <w:rPr>
          <w:rFonts w:ascii="Arial" w:hAnsi="Arial" w:cs="Arial"/>
          <w:b/>
          <w:sz w:val="20"/>
          <w:szCs w:val="26"/>
          <w:lang w:val="nl-NL"/>
        </w:rPr>
      </w:pPr>
      <w:r w:rsidRPr="0033036C">
        <w:rPr>
          <w:rFonts w:ascii="Arial" w:hAnsi="Arial" w:cs="Arial"/>
          <w:b/>
          <w:sz w:val="20"/>
          <w:szCs w:val="26"/>
          <w:lang w:val="nl-NL"/>
        </w:rPr>
        <w:t>BÁO CÁO CỦA CÔNG TY QUẢN LÝ QUỸ</w:t>
      </w:r>
    </w:p>
    <w:p w:rsidR="00806185" w:rsidRPr="0033036C" w:rsidRDefault="00806185" w:rsidP="0060532E">
      <w:pPr>
        <w:shd w:val="clear" w:color="auto" w:fill="FFFFFF"/>
        <w:tabs>
          <w:tab w:val="left" w:pos="540"/>
        </w:tabs>
        <w:spacing w:before="120" w:after="0" w:line="240" w:lineRule="auto"/>
        <w:jc w:val="center"/>
        <w:rPr>
          <w:rFonts w:ascii="Arial" w:hAnsi="Arial" w:cs="Arial"/>
          <w:b/>
          <w:sz w:val="20"/>
          <w:szCs w:val="26"/>
          <w:lang w:val="nl-NL"/>
        </w:rPr>
      </w:pPr>
      <w:r>
        <w:rPr>
          <w:rFonts w:ascii="Arial" w:hAnsi="Arial" w:cs="Arial"/>
          <w:b/>
          <w:sz w:val="20"/>
          <w:szCs w:val="26"/>
          <w:lang w:val="nl-NL"/>
        </w:rPr>
        <w:t>QUÝ III.2016</w:t>
      </w:r>
      <w:bookmarkStart w:id="0" w:name="_GoBack"/>
      <w:bookmarkEnd w:id="0"/>
    </w:p>
    <w:p w:rsidR="0060532E" w:rsidRPr="0033036C" w:rsidRDefault="0060532E" w:rsidP="0060532E">
      <w:pPr>
        <w:shd w:val="clear" w:color="auto" w:fill="FFFFFF"/>
        <w:tabs>
          <w:tab w:val="left" w:pos="540"/>
        </w:tabs>
        <w:spacing w:before="120" w:after="0" w:line="240" w:lineRule="auto"/>
        <w:rPr>
          <w:rFonts w:ascii="Arial" w:hAnsi="Arial" w:cs="Arial"/>
          <w:b/>
          <w:sz w:val="20"/>
          <w:szCs w:val="26"/>
          <w:lang w:val="nl-NL"/>
        </w:rPr>
      </w:pPr>
      <w:r w:rsidRPr="0033036C">
        <w:rPr>
          <w:rFonts w:ascii="Arial" w:hAnsi="Arial" w:cs="Arial"/>
          <w:b/>
          <w:sz w:val="20"/>
          <w:szCs w:val="26"/>
          <w:lang w:val="nl-NL"/>
        </w:rPr>
        <w:t>I. Thông tin chung về Quỹ</w:t>
      </w:r>
    </w:p>
    <w:p w:rsidR="0060532E" w:rsidRPr="0033036C" w:rsidRDefault="0060532E" w:rsidP="0060532E">
      <w:pPr>
        <w:shd w:val="clear" w:color="auto" w:fill="FFFFFF"/>
        <w:tabs>
          <w:tab w:val="left" w:pos="540"/>
        </w:tabs>
        <w:spacing w:before="120" w:after="0" w:line="240" w:lineRule="auto"/>
        <w:rPr>
          <w:rFonts w:ascii="Arial" w:hAnsi="Arial" w:cs="Arial"/>
          <w:b/>
          <w:sz w:val="20"/>
          <w:szCs w:val="26"/>
          <w:lang w:val="nl-NL"/>
        </w:rPr>
      </w:pPr>
      <w:r w:rsidRPr="0033036C">
        <w:rPr>
          <w:rFonts w:ascii="Arial" w:hAnsi="Arial" w:cs="Arial"/>
          <w:b/>
          <w:sz w:val="20"/>
          <w:szCs w:val="26"/>
          <w:lang w:val="nl-NL"/>
        </w:rPr>
        <w:t>1. Mục tiêu của Quỹ:</w:t>
      </w:r>
    </w:p>
    <w:p w:rsidR="0060532E" w:rsidRPr="0033036C" w:rsidRDefault="0060532E" w:rsidP="0060532E">
      <w:pPr>
        <w:shd w:val="clear" w:color="auto" w:fill="FFFFFF"/>
        <w:tabs>
          <w:tab w:val="left" w:pos="540"/>
        </w:tabs>
        <w:spacing w:before="120" w:after="0" w:line="240" w:lineRule="auto"/>
        <w:rPr>
          <w:rFonts w:ascii="Arial" w:hAnsi="Arial" w:cs="Arial"/>
          <w:sz w:val="20"/>
          <w:szCs w:val="26"/>
          <w:lang w:val="nl-NL"/>
        </w:rPr>
      </w:pPr>
      <w:r w:rsidRPr="0033036C">
        <w:rPr>
          <w:rFonts w:ascii="Arial" w:hAnsi="Arial" w:cs="Arial"/>
          <w:sz w:val="20"/>
          <w:szCs w:val="26"/>
          <w:lang w:val="nl-NL"/>
        </w:rPr>
        <w:t>Phù hợp với Giấy chứng nhận đăng ký thành lập Quỹ do UBCKNN cấp, Điều lệ và Bản cáo bạch của Quỹ;</w:t>
      </w:r>
    </w:p>
    <w:p w:rsidR="0060532E" w:rsidRPr="0033036C" w:rsidRDefault="0060532E" w:rsidP="0060532E">
      <w:pPr>
        <w:shd w:val="clear" w:color="auto" w:fill="FFFFFF"/>
        <w:tabs>
          <w:tab w:val="left" w:pos="540"/>
        </w:tabs>
        <w:spacing w:before="120" w:after="0" w:line="240" w:lineRule="auto"/>
        <w:rPr>
          <w:rFonts w:ascii="Arial" w:hAnsi="Arial" w:cs="Arial"/>
          <w:b/>
          <w:sz w:val="20"/>
          <w:szCs w:val="26"/>
          <w:lang w:val="nl-NL"/>
        </w:rPr>
      </w:pPr>
      <w:r w:rsidRPr="0033036C">
        <w:rPr>
          <w:rFonts w:ascii="Arial" w:hAnsi="Arial" w:cs="Arial"/>
          <w:b/>
          <w:sz w:val="20"/>
          <w:szCs w:val="26"/>
          <w:lang w:val="nl-NL"/>
        </w:rPr>
        <w:t>2. Hiệu quả hoạt động của Quỹ:</w:t>
      </w:r>
    </w:p>
    <w:p w:rsidR="0060532E" w:rsidRPr="0033036C" w:rsidRDefault="0060532E" w:rsidP="0060532E">
      <w:pPr>
        <w:shd w:val="clear" w:color="auto" w:fill="FFFFFF"/>
        <w:tabs>
          <w:tab w:val="left" w:pos="540"/>
        </w:tabs>
        <w:spacing w:before="120" w:after="0" w:line="240" w:lineRule="auto"/>
        <w:rPr>
          <w:rFonts w:ascii="Arial" w:hAnsi="Arial" w:cs="Arial"/>
          <w:sz w:val="20"/>
          <w:szCs w:val="26"/>
          <w:lang w:val="nl-NL"/>
        </w:rPr>
      </w:pPr>
      <w:r w:rsidRPr="0033036C">
        <w:rPr>
          <w:rFonts w:ascii="Arial" w:hAnsi="Arial" w:cs="Arial"/>
          <w:sz w:val="20"/>
          <w:szCs w:val="26"/>
          <w:lang w:val="nl-NL"/>
        </w:rPr>
        <w:t>Theo Báo cáo tài chính của Quỹ đã được soát xét hoặc đã được kiểm toán, tính đến kỳ báo cáo, thay đổi giá trị tài sản ròng (NAV) của Quỹ là.</w:t>
      </w:r>
      <w:r w:rsidR="007051E6" w:rsidRPr="0033036C">
        <w:rPr>
          <w:rFonts w:ascii="Arial" w:hAnsi="Arial" w:cs="Arial"/>
          <w:sz w:val="20"/>
          <w:szCs w:val="26"/>
          <w:lang w:val="nl-NL"/>
        </w:rPr>
        <w:t xml:space="preserve"> </w:t>
      </w:r>
      <w:r w:rsidR="007051E6" w:rsidRPr="0033036C">
        <w:rPr>
          <w:rFonts w:ascii="Arial" w:hAnsi="Arial" w:cs="Arial"/>
          <w:b/>
          <w:sz w:val="20"/>
          <w:szCs w:val="26"/>
          <w:lang w:val="nl-NL"/>
        </w:rPr>
        <w:t xml:space="preserve">4.86 </w:t>
      </w:r>
      <w:r w:rsidRPr="0033036C">
        <w:rPr>
          <w:rFonts w:ascii="Arial" w:hAnsi="Arial" w:cs="Arial"/>
          <w:sz w:val="20"/>
          <w:szCs w:val="26"/>
          <w:lang w:val="nl-NL"/>
        </w:rPr>
        <w:t xml:space="preserve">(%) so với giá trị tài sản ròng của quỹ đầu kỳ báo cáo; </w:t>
      </w:r>
      <w:r w:rsidR="00284C07" w:rsidRPr="0033036C">
        <w:rPr>
          <w:rFonts w:ascii="Arial" w:hAnsi="Arial" w:cs="Arial"/>
          <w:sz w:val="20"/>
          <w:szCs w:val="26"/>
          <w:lang w:val="nl-NL"/>
        </w:rPr>
        <w:t xml:space="preserve">Quỹ không có </w:t>
      </w:r>
      <w:r w:rsidRPr="0033036C">
        <w:rPr>
          <w:rFonts w:ascii="Arial" w:hAnsi="Arial" w:cs="Arial"/>
          <w:sz w:val="20"/>
          <w:szCs w:val="26"/>
          <w:lang w:val="nl-NL"/>
        </w:rPr>
        <w:t xml:space="preserve">danh mục cơ cấu </w:t>
      </w:r>
      <w:r w:rsidR="00284C07" w:rsidRPr="0033036C">
        <w:rPr>
          <w:rFonts w:ascii="Arial" w:hAnsi="Arial" w:cs="Arial"/>
          <w:sz w:val="20"/>
          <w:szCs w:val="26"/>
          <w:lang w:val="nl-NL"/>
        </w:rPr>
        <w:t>và</w:t>
      </w:r>
      <w:r w:rsidRPr="0033036C">
        <w:rPr>
          <w:rFonts w:ascii="Arial" w:hAnsi="Arial" w:cs="Arial"/>
          <w:sz w:val="20"/>
          <w:szCs w:val="26"/>
          <w:lang w:val="nl-NL"/>
        </w:rPr>
        <w:t xml:space="preserve"> chỉ số tham chiế</w:t>
      </w:r>
      <w:r w:rsidR="00284C07" w:rsidRPr="0033036C">
        <w:rPr>
          <w:rFonts w:ascii="Arial" w:hAnsi="Arial" w:cs="Arial"/>
          <w:sz w:val="20"/>
          <w:szCs w:val="26"/>
          <w:lang w:val="nl-NL"/>
        </w:rPr>
        <w:t>u là.</w:t>
      </w:r>
    </w:p>
    <w:p w:rsidR="0060532E" w:rsidRPr="0033036C" w:rsidRDefault="0060532E" w:rsidP="0060532E">
      <w:pPr>
        <w:shd w:val="clear" w:color="auto" w:fill="FFFFFF"/>
        <w:tabs>
          <w:tab w:val="left" w:pos="540"/>
        </w:tabs>
        <w:spacing w:before="120" w:after="0" w:line="240" w:lineRule="auto"/>
        <w:rPr>
          <w:rFonts w:ascii="Arial" w:hAnsi="Arial" w:cs="Arial"/>
          <w:b/>
          <w:sz w:val="20"/>
          <w:szCs w:val="26"/>
          <w:lang w:val="nl-NL"/>
        </w:rPr>
      </w:pPr>
      <w:r w:rsidRPr="0033036C">
        <w:rPr>
          <w:rFonts w:ascii="Arial" w:hAnsi="Arial" w:cs="Arial"/>
          <w:b/>
          <w:sz w:val="20"/>
          <w:szCs w:val="26"/>
          <w:lang w:val="nl-NL"/>
        </w:rPr>
        <w:t>3. Chính sách và chiến lược đầu tư của Quỹ:</w:t>
      </w:r>
    </w:p>
    <w:p w:rsidR="00163F5E" w:rsidRPr="0033036C" w:rsidRDefault="00163F5E" w:rsidP="0060532E">
      <w:pPr>
        <w:shd w:val="clear" w:color="auto" w:fill="FFFFFF"/>
        <w:tabs>
          <w:tab w:val="left" w:pos="540"/>
        </w:tabs>
        <w:spacing w:before="120" w:after="0" w:line="240" w:lineRule="auto"/>
      </w:pPr>
      <w:r w:rsidRPr="0033036C">
        <w:t xml:space="preserve">Chiến lược đầu tư của Quỹ VFMVF4 là đầu tư năng động vào các loại chứng khoán vốn của các doanh nghiệp hàng đầu hoạt động trong các ngành cơ bản, chủ đạo của nền kinh tế Việt Nam. Những doanh nghiệp này hoạt động trong các lĩnh vực, ngành nghề bao gồm (nhưng không giới hạn) như: thực phẩm &amp; nước giải khát, hàng tiêu dùng, bán lẻ, năng lượng, vật liệu - khai khoáng, dịch vụ tài chính, ngân hàng, viễn thông, cơ sở hạ tầng - bất động sản… Các doanh nghiệp này có cổ phiếu đã hoặc sẽ niêm yết trên thị trường chứng khoán Việt Nam. Tỷ trọng đầu tư vào chứng khoán vốn của Quỹ VF4 có thể đạt tới 100% tổng tài sản của Quỹ; Ngoài ra, để tạo sự linh hoạt trong việc tìm kiếm các cơ hội đầu tư cũng như gia tăng giá trị các khoản tiền nhàn rỗi trong ngắn hạn. </w:t>
      </w:r>
    </w:p>
    <w:p w:rsidR="00163F5E" w:rsidRPr="0033036C" w:rsidRDefault="00163F5E" w:rsidP="0060532E">
      <w:pPr>
        <w:shd w:val="clear" w:color="auto" w:fill="FFFFFF"/>
        <w:tabs>
          <w:tab w:val="left" w:pos="540"/>
        </w:tabs>
        <w:spacing w:before="120" w:after="0" w:line="240" w:lineRule="auto"/>
      </w:pPr>
      <w:r w:rsidRPr="0033036C">
        <w:t xml:space="preserve">Quỹ VFMVF4 có thể đầu tư vào các loại chứng khoán nợ bao gồm (nhưng không giới hạn): trái phiếu Chính phủ, trái phiếu được Chính phủ bảo lãnh, trái phiếu chính quyền địa phương, trái phiếu thường và trái phiếu chuyển đổi của các tổ chức phát hành hoạt động … giấy tờ có giá và các công cụ thị trường tiền tệ. Trong điều kiện bình thường, tỷ trọng các tài sản khác khác với chứng khoán vốn (như tiền và tài sản tương đương tiền, chứng khoán nợ…) không vượt quá 20% Tổng tài sản của Quỹ. </w:t>
      </w:r>
    </w:p>
    <w:p w:rsidR="0060532E" w:rsidRPr="0033036C" w:rsidRDefault="0060532E" w:rsidP="0060532E">
      <w:pPr>
        <w:shd w:val="clear" w:color="auto" w:fill="FFFFFF"/>
        <w:tabs>
          <w:tab w:val="left" w:pos="540"/>
        </w:tabs>
        <w:spacing w:before="120" w:after="0" w:line="240" w:lineRule="auto"/>
        <w:rPr>
          <w:rFonts w:ascii="Arial" w:hAnsi="Arial" w:cs="Arial"/>
          <w:b/>
          <w:sz w:val="20"/>
          <w:szCs w:val="26"/>
          <w:lang w:val="nl-NL"/>
        </w:rPr>
      </w:pPr>
      <w:r w:rsidRPr="0033036C">
        <w:rPr>
          <w:rFonts w:ascii="Arial" w:hAnsi="Arial" w:cs="Arial"/>
          <w:b/>
          <w:sz w:val="20"/>
          <w:szCs w:val="26"/>
          <w:lang w:val="nl-NL"/>
        </w:rPr>
        <w:t>4. Phân loại Quỹ:</w:t>
      </w:r>
      <w:r w:rsidR="000F2734" w:rsidRPr="0033036C">
        <w:rPr>
          <w:rFonts w:ascii="Arial" w:hAnsi="Arial" w:cs="Arial"/>
          <w:b/>
          <w:sz w:val="20"/>
          <w:szCs w:val="26"/>
          <w:lang w:val="nl-NL"/>
        </w:rPr>
        <w:t xml:space="preserve"> </w:t>
      </w:r>
      <w:r w:rsidR="000F2734" w:rsidRPr="0033036C">
        <w:t>Quỹ công chúng dạng mở</w:t>
      </w:r>
    </w:p>
    <w:p w:rsidR="0060532E" w:rsidRPr="0033036C" w:rsidRDefault="0060532E" w:rsidP="0060532E">
      <w:pPr>
        <w:shd w:val="clear" w:color="auto" w:fill="FFFFFF"/>
        <w:tabs>
          <w:tab w:val="left" w:pos="540"/>
        </w:tabs>
        <w:spacing w:before="120" w:after="0" w:line="240" w:lineRule="auto"/>
        <w:rPr>
          <w:rFonts w:ascii="Arial" w:hAnsi="Arial" w:cs="Arial"/>
          <w:b/>
          <w:sz w:val="20"/>
          <w:szCs w:val="26"/>
          <w:lang w:val="nl-NL"/>
        </w:rPr>
      </w:pPr>
      <w:r w:rsidRPr="0033036C">
        <w:rPr>
          <w:rFonts w:ascii="Arial" w:hAnsi="Arial" w:cs="Arial"/>
          <w:b/>
          <w:sz w:val="20"/>
          <w:szCs w:val="26"/>
          <w:lang w:val="nl-NL"/>
        </w:rPr>
        <w:t>5. Thời gian khuyến cáo đầu tư của Quỹ:</w:t>
      </w:r>
      <w:r w:rsidR="000F2734" w:rsidRPr="0033036C">
        <w:rPr>
          <w:rFonts w:ascii="Arial" w:hAnsi="Arial" w:cs="Arial"/>
          <w:b/>
          <w:sz w:val="20"/>
          <w:szCs w:val="26"/>
          <w:lang w:val="nl-NL"/>
        </w:rPr>
        <w:t xml:space="preserve"> </w:t>
      </w:r>
      <w:r w:rsidR="000F2734" w:rsidRPr="0033036C">
        <w:rPr>
          <w:rFonts w:ascii="Arial" w:hAnsi="Arial" w:cs="Arial"/>
          <w:sz w:val="20"/>
          <w:szCs w:val="26"/>
          <w:lang w:val="nl-NL"/>
        </w:rPr>
        <w:t>Không có</w:t>
      </w:r>
    </w:p>
    <w:p w:rsidR="0060532E" w:rsidRPr="0033036C" w:rsidRDefault="0060532E" w:rsidP="0060532E">
      <w:pPr>
        <w:shd w:val="clear" w:color="auto" w:fill="FFFFFF"/>
        <w:tabs>
          <w:tab w:val="left" w:pos="540"/>
        </w:tabs>
        <w:spacing w:before="120" w:after="0" w:line="240" w:lineRule="auto"/>
        <w:rPr>
          <w:rFonts w:ascii="Arial" w:hAnsi="Arial" w:cs="Arial"/>
          <w:b/>
          <w:sz w:val="20"/>
          <w:szCs w:val="26"/>
          <w:lang w:val="nl-NL"/>
        </w:rPr>
      </w:pPr>
      <w:r w:rsidRPr="0033036C">
        <w:rPr>
          <w:rFonts w:ascii="Arial" w:hAnsi="Arial" w:cs="Arial"/>
          <w:b/>
          <w:sz w:val="20"/>
          <w:szCs w:val="26"/>
          <w:lang w:val="nl-NL"/>
        </w:rPr>
        <w:t>6. Mức độ rủi ro ngắn hạn (thấp, trung bình, cao):</w:t>
      </w:r>
      <w:r w:rsidR="000F2734" w:rsidRPr="0033036C">
        <w:rPr>
          <w:rFonts w:ascii="Arial" w:hAnsi="Arial" w:cs="Arial"/>
          <w:b/>
          <w:sz w:val="20"/>
          <w:szCs w:val="26"/>
          <w:lang w:val="nl-NL"/>
        </w:rPr>
        <w:t xml:space="preserve"> </w:t>
      </w:r>
      <w:r w:rsidR="000F2734" w:rsidRPr="0033036C">
        <w:rPr>
          <w:rFonts w:ascii="Arial" w:hAnsi="Arial" w:cs="Arial"/>
          <w:sz w:val="20"/>
          <w:szCs w:val="26"/>
          <w:lang w:val="nl-NL"/>
        </w:rPr>
        <w:t>Cao</w:t>
      </w:r>
    </w:p>
    <w:p w:rsidR="0060532E" w:rsidRPr="0033036C" w:rsidRDefault="0060532E" w:rsidP="0060532E">
      <w:pPr>
        <w:shd w:val="clear" w:color="auto" w:fill="FFFFFF"/>
        <w:tabs>
          <w:tab w:val="left" w:pos="540"/>
        </w:tabs>
        <w:spacing w:before="120" w:after="0" w:line="240" w:lineRule="auto"/>
        <w:rPr>
          <w:rFonts w:ascii="Arial" w:hAnsi="Arial" w:cs="Arial"/>
          <w:b/>
          <w:sz w:val="20"/>
          <w:szCs w:val="26"/>
          <w:lang w:val="nl-NL"/>
        </w:rPr>
      </w:pPr>
      <w:r w:rsidRPr="0033036C">
        <w:rPr>
          <w:rFonts w:ascii="Arial" w:hAnsi="Arial" w:cs="Arial"/>
          <w:b/>
          <w:sz w:val="20"/>
          <w:szCs w:val="26"/>
          <w:lang w:val="nl-NL"/>
        </w:rPr>
        <w:t>7. Thời điểm bắt đầu hoạt động của Quỹ:</w:t>
      </w:r>
      <w:r w:rsidR="000F2734" w:rsidRPr="0033036C">
        <w:rPr>
          <w:rFonts w:ascii="Arial" w:hAnsi="Arial" w:cs="Arial"/>
          <w:b/>
          <w:sz w:val="20"/>
          <w:szCs w:val="26"/>
          <w:lang w:val="nl-NL"/>
        </w:rPr>
        <w:t xml:space="preserve"> </w:t>
      </w:r>
      <w:r w:rsidR="000F2734" w:rsidRPr="0033036C">
        <w:t>28/02/2008</w:t>
      </w:r>
    </w:p>
    <w:p w:rsidR="0060532E" w:rsidRPr="0033036C" w:rsidRDefault="0060532E" w:rsidP="0060532E">
      <w:pPr>
        <w:shd w:val="clear" w:color="auto" w:fill="FFFFFF"/>
        <w:tabs>
          <w:tab w:val="left" w:pos="540"/>
        </w:tabs>
        <w:spacing w:before="120" w:after="0" w:line="240" w:lineRule="auto"/>
        <w:rPr>
          <w:rFonts w:ascii="Arial" w:hAnsi="Arial" w:cs="Arial"/>
          <w:sz w:val="20"/>
          <w:szCs w:val="26"/>
          <w:lang w:val="nl-NL"/>
        </w:rPr>
      </w:pPr>
      <w:r w:rsidRPr="0033036C">
        <w:rPr>
          <w:rFonts w:ascii="Arial" w:hAnsi="Arial" w:cs="Arial"/>
          <w:b/>
          <w:sz w:val="20"/>
          <w:szCs w:val="26"/>
          <w:lang w:val="nl-NL"/>
        </w:rPr>
        <w:t>8. Quy mô Quỹ tại thời điểm báo cáo</w:t>
      </w:r>
      <w:r w:rsidRPr="0033036C">
        <w:rPr>
          <w:rFonts w:ascii="Arial" w:hAnsi="Arial" w:cs="Arial"/>
          <w:sz w:val="20"/>
          <w:szCs w:val="26"/>
          <w:lang w:val="nl-NL"/>
        </w:rPr>
        <w:t xml:space="preserve"> (Tại ngày...(N)): </w:t>
      </w:r>
    </w:p>
    <w:p w:rsidR="000F2734" w:rsidRPr="0033036C" w:rsidRDefault="000F2734" w:rsidP="00855506">
      <w:pPr>
        <w:pStyle w:val="ListParagraph"/>
        <w:numPr>
          <w:ilvl w:val="0"/>
          <w:numId w:val="1"/>
        </w:numPr>
        <w:shd w:val="clear" w:color="auto" w:fill="FFFFFF"/>
        <w:tabs>
          <w:tab w:val="left" w:pos="540"/>
        </w:tabs>
        <w:spacing w:before="120" w:after="0" w:line="240" w:lineRule="auto"/>
        <w:rPr>
          <w:rFonts w:ascii="Arial" w:hAnsi="Arial" w:cs="Arial"/>
          <w:sz w:val="20"/>
          <w:szCs w:val="26"/>
          <w:lang w:val="nl-NL"/>
        </w:rPr>
      </w:pPr>
      <w:r w:rsidRPr="0033036C">
        <w:rPr>
          <w:rFonts w:ascii="Arial" w:hAnsi="Arial" w:cs="Arial"/>
          <w:sz w:val="20"/>
          <w:szCs w:val="26"/>
          <w:lang w:val="nl-NL"/>
        </w:rPr>
        <w:t>Tổng giá trị tài sản ròng:</w:t>
      </w:r>
      <w:r w:rsidRPr="0033036C">
        <w:t xml:space="preserve"> </w:t>
      </w:r>
      <w:r w:rsidR="00855506" w:rsidRPr="0033036C">
        <w:rPr>
          <w:b/>
        </w:rPr>
        <w:t>363,735,550,880</w:t>
      </w:r>
      <w:r w:rsidR="00855506" w:rsidRPr="0033036C">
        <w:t xml:space="preserve"> </w:t>
      </w:r>
      <w:r w:rsidRPr="0033036C">
        <w:rPr>
          <w:rFonts w:ascii="Arial" w:hAnsi="Arial" w:cs="Arial"/>
          <w:sz w:val="20"/>
          <w:szCs w:val="26"/>
          <w:lang w:val="nl-NL"/>
        </w:rPr>
        <w:t>Việt nam đồng</w:t>
      </w:r>
    </w:p>
    <w:p w:rsidR="000F2734" w:rsidRPr="0033036C" w:rsidRDefault="000F2734" w:rsidP="00855506">
      <w:pPr>
        <w:pStyle w:val="ListParagraph"/>
        <w:numPr>
          <w:ilvl w:val="0"/>
          <w:numId w:val="1"/>
        </w:numPr>
        <w:shd w:val="clear" w:color="auto" w:fill="FFFFFF"/>
        <w:tabs>
          <w:tab w:val="left" w:pos="540"/>
        </w:tabs>
        <w:spacing w:before="120" w:after="0" w:line="240" w:lineRule="auto"/>
        <w:rPr>
          <w:rFonts w:ascii="Arial" w:hAnsi="Arial" w:cs="Arial"/>
          <w:sz w:val="20"/>
          <w:szCs w:val="26"/>
          <w:lang w:val="nl-NL"/>
        </w:rPr>
      </w:pPr>
      <w:r w:rsidRPr="0033036C">
        <w:rPr>
          <w:rFonts w:ascii="Arial" w:hAnsi="Arial" w:cs="Arial"/>
          <w:sz w:val="20"/>
          <w:szCs w:val="26"/>
          <w:lang w:val="nl-NL"/>
        </w:rPr>
        <w:t xml:space="preserve">Số lượng chứng chỉ quỹ: </w:t>
      </w:r>
      <w:r w:rsidR="00855506" w:rsidRPr="0033036C">
        <w:rPr>
          <w:rFonts w:ascii="Times New Roman" w:eastAsia="Times New Roman" w:hAnsi="Times New Roman"/>
          <w:color w:val="000000"/>
        </w:rPr>
        <w:t xml:space="preserve"> </w:t>
      </w:r>
      <w:r w:rsidR="00855506" w:rsidRPr="0033036C">
        <w:rPr>
          <w:rFonts w:ascii="Times New Roman" w:eastAsia="Times New Roman" w:hAnsi="Times New Roman"/>
          <w:b/>
          <w:color w:val="000000"/>
        </w:rPr>
        <w:t>27,659,595.92</w:t>
      </w:r>
      <w:r w:rsidR="00855506" w:rsidRPr="0033036C">
        <w:rPr>
          <w:rFonts w:ascii="Times New Roman" w:eastAsia="Times New Roman" w:hAnsi="Times New Roman"/>
          <w:color w:val="000000"/>
        </w:rPr>
        <w:t xml:space="preserve"> ccq</w:t>
      </w:r>
    </w:p>
    <w:p w:rsidR="0060532E" w:rsidRPr="0033036C" w:rsidRDefault="0060532E" w:rsidP="0060532E">
      <w:pPr>
        <w:shd w:val="clear" w:color="auto" w:fill="FFFFFF"/>
        <w:tabs>
          <w:tab w:val="left" w:pos="540"/>
        </w:tabs>
        <w:spacing w:before="120" w:after="0" w:line="240" w:lineRule="auto"/>
        <w:rPr>
          <w:rFonts w:ascii="Arial" w:hAnsi="Arial" w:cs="Arial"/>
          <w:sz w:val="20"/>
          <w:szCs w:val="26"/>
          <w:lang w:val="nl-NL"/>
        </w:rPr>
      </w:pPr>
      <w:r w:rsidRPr="0033036C">
        <w:rPr>
          <w:rFonts w:ascii="Arial" w:hAnsi="Arial" w:cs="Arial"/>
          <w:b/>
          <w:sz w:val="20"/>
          <w:szCs w:val="26"/>
          <w:lang w:val="nl-NL"/>
        </w:rPr>
        <w:t>9. Chỉ số tham chiếu của Quỹ:</w:t>
      </w:r>
      <w:r w:rsidR="000F2734" w:rsidRPr="0033036C">
        <w:rPr>
          <w:rFonts w:ascii="Arial" w:hAnsi="Arial" w:cs="Arial"/>
          <w:b/>
          <w:sz w:val="20"/>
          <w:szCs w:val="26"/>
          <w:lang w:val="nl-NL"/>
        </w:rPr>
        <w:t xml:space="preserve"> </w:t>
      </w:r>
      <w:r w:rsidR="000F2734" w:rsidRPr="0033036C">
        <w:rPr>
          <w:rFonts w:ascii="Arial" w:hAnsi="Arial" w:cs="Arial"/>
          <w:sz w:val="20"/>
          <w:szCs w:val="26"/>
          <w:lang w:val="nl-NL"/>
        </w:rPr>
        <w:t>Không có</w:t>
      </w:r>
      <w:r w:rsidR="00FF76D8" w:rsidRPr="0033036C">
        <w:rPr>
          <w:rFonts w:ascii="Arial" w:hAnsi="Arial" w:cs="Arial"/>
          <w:sz w:val="20"/>
          <w:szCs w:val="26"/>
          <w:lang w:val="nl-NL"/>
        </w:rPr>
        <w:t xml:space="preserve"> chỉ số tham chiếu</w:t>
      </w:r>
    </w:p>
    <w:p w:rsidR="0060532E" w:rsidRPr="0033036C" w:rsidRDefault="0060532E" w:rsidP="0060532E">
      <w:pPr>
        <w:shd w:val="clear" w:color="auto" w:fill="FFFFFF"/>
        <w:tabs>
          <w:tab w:val="left" w:pos="540"/>
        </w:tabs>
        <w:spacing w:before="120" w:after="0" w:line="240" w:lineRule="auto"/>
        <w:rPr>
          <w:rFonts w:ascii="Arial" w:hAnsi="Arial" w:cs="Arial"/>
          <w:b/>
          <w:sz w:val="20"/>
          <w:szCs w:val="26"/>
          <w:lang w:val="nl-NL"/>
        </w:rPr>
      </w:pPr>
      <w:r w:rsidRPr="0033036C">
        <w:rPr>
          <w:rFonts w:ascii="Arial" w:hAnsi="Arial" w:cs="Arial"/>
          <w:b/>
          <w:sz w:val="20"/>
          <w:szCs w:val="26"/>
          <w:lang w:val="nl-NL"/>
        </w:rPr>
        <w:t>10. Chính sách phân phối lợi nhuận của Quỹ:</w:t>
      </w:r>
    </w:p>
    <w:p w:rsidR="00BB24AF" w:rsidRPr="0033036C" w:rsidRDefault="0060532E" w:rsidP="0060532E">
      <w:pPr>
        <w:shd w:val="clear" w:color="auto" w:fill="FFFFFF"/>
        <w:tabs>
          <w:tab w:val="left" w:pos="540"/>
        </w:tabs>
        <w:spacing w:before="120" w:after="0" w:line="240" w:lineRule="auto"/>
        <w:rPr>
          <w:rFonts w:ascii="Arial" w:hAnsi="Arial" w:cs="Arial"/>
          <w:sz w:val="20"/>
          <w:szCs w:val="26"/>
          <w:lang w:val="nl-NL"/>
        </w:rPr>
      </w:pPr>
      <w:r w:rsidRPr="0033036C">
        <w:rPr>
          <w:rFonts w:ascii="Arial" w:hAnsi="Arial" w:cs="Arial"/>
          <w:b/>
          <w:sz w:val="20"/>
          <w:szCs w:val="26"/>
          <w:lang w:val="nl-NL"/>
        </w:rPr>
        <w:t>11. Lợi nhuận thuần thực tế phân phối trên một đơn vị Chứng chỉ quỹ Quỹ</w:t>
      </w:r>
      <w:r w:rsidRPr="0033036C">
        <w:rPr>
          <w:rFonts w:ascii="Arial" w:hAnsi="Arial" w:cs="Arial"/>
          <w:sz w:val="20"/>
          <w:szCs w:val="26"/>
          <w:lang w:val="nl-NL"/>
        </w:rPr>
        <w:t xml:space="preserve"> (ở thời điểm báo cáo (N)):</w:t>
      </w:r>
    </w:p>
    <w:p w:rsidR="00BB24AF" w:rsidRPr="0033036C" w:rsidRDefault="00BB24AF">
      <w:pPr>
        <w:spacing w:after="160" w:line="259" w:lineRule="auto"/>
        <w:rPr>
          <w:rFonts w:ascii="Arial" w:hAnsi="Arial" w:cs="Arial"/>
          <w:sz w:val="20"/>
          <w:szCs w:val="26"/>
          <w:lang w:val="nl-NL"/>
        </w:rPr>
      </w:pPr>
      <w:r w:rsidRPr="0033036C">
        <w:rPr>
          <w:rFonts w:ascii="Arial" w:hAnsi="Arial" w:cs="Arial"/>
          <w:sz w:val="20"/>
          <w:szCs w:val="26"/>
          <w:lang w:val="nl-NL"/>
        </w:rPr>
        <w:br w:type="page"/>
      </w:r>
    </w:p>
    <w:p w:rsidR="0060532E" w:rsidRPr="0033036C" w:rsidRDefault="0060532E" w:rsidP="0060532E">
      <w:pPr>
        <w:shd w:val="clear" w:color="auto" w:fill="FFFFFF"/>
        <w:tabs>
          <w:tab w:val="left" w:pos="540"/>
        </w:tabs>
        <w:spacing w:before="120" w:after="0" w:line="240" w:lineRule="auto"/>
        <w:rPr>
          <w:rFonts w:ascii="Arial" w:hAnsi="Arial" w:cs="Arial"/>
          <w:b/>
          <w:sz w:val="20"/>
          <w:szCs w:val="26"/>
          <w:lang w:val="nl-NL"/>
        </w:rPr>
      </w:pPr>
      <w:r w:rsidRPr="0033036C">
        <w:rPr>
          <w:rFonts w:ascii="Arial" w:hAnsi="Arial" w:cs="Arial"/>
          <w:b/>
          <w:sz w:val="20"/>
          <w:szCs w:val="26"/>
          <w:lang w:val="nl-NL"/>
        </w:rPr>
        <w:lastRenderedPageBreak/>
        <w:t>II. Số liệu hoạt động</w:t>
      </w:r>
    </w:p>
    <w:p w:rsidR="0060532E" w:rsidRPr="0033036C" w:rsidRDefault="0060532E" w:rsidP="0060532E">
      <w:pPr>
        <w:shd w:val="clear" w:color="auto" w:fill="FFFFFF"/>
        <w:tabs>
          <w:tab w:val="left" w:pos="540"/>
        </w:tabs>
        <w:spacing w:before="120" w:after="0" w:line="240" w:lineRule="auto"/>
        <w:rPr>
          <w:rFonts w:ascii="Arial" w:hAnsi="Arial" w:cs="Arial"/>
          <w:b/>
          <w:sz w:val="20"/>
          <w:szCs w:val="26"/>
          <w:lang w:val="nl-NL"/>
        </w:rPr>
      </w:pPr>
      <w:r w:rsidRPr="0033036C">
        <w:rPr>
          <w:rFonts w:ascii="Arial" w:hAnsi="Arial" w:cs="Arial"/>
          <w:b/>
          <w:sz w:val="20"/>
          <w:szCs w:val="26"/>
          <w:lang w:val="nl-NL"/>
        </w:rPr>
        <w:t>1. Cơ cấu tài sản quỹ (N: Đến thời điểm báo cáo):</w:t>
      </w:r>
    </w:p>
    <w:tbl>
      <w:tblPr>
        <w:tblW w:w="804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3057"/>
        <w:gridCol w:w="1631"/>
        <w:gridCol w:w="1640"/>
        <w:gridCol w:w="1713"/>
      </w:tblGrid>
      <w:tr w:rsidR="00F54B2C" w:rsidRPr="0033036C" w:rsidTr="00081A61">
        <w:tc>
          <w:tcPr>
            <w:tcW w:w="1901" w:type="pct"/>
            <w:shd w:val="clear" w:color="auto" w:fill="auto"/>
            <w:vAlign w:val="center"/>
          </w:tcPr>
          <w:p w:rsidR="00F54B2C" w:rsidRPr="0033036C" w:rsidRDefault="00F54B2C" w:rsidP="00F54B2C">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Cơ cấu tài sản quỹ</w:t>
            </w:r>
          </w:p>
        </w:tc>
        <w:tc>
          <w:tcPr>
            <w:tcW w:w="1014" w:type="pct"/>
            <w:shd w:val="clear" w:color="auto" w:fill="auto"/>
          </w:tcPr>
          <w:p w:rsidR="00F54B2C" w:rsidRPr="0033036C" w:rsidRDefault="00F54B2C" w:rsidP="00F54B2C">
            <w:pPr>
              <w:tabs>
                <w:tab w:val="left" w:pos="540"/>
              </w:tabs>
              <w:spacing w:before="120" w:after="0" w:line="240" w:lineRule="auto"/>
              <w:jc w:val="center"/>
              <w:rPr>
                <w:rFonts w:ascii="Arial" w:eastAsia="Times New Roman" w:hAnsi="Arial" w:cs="Arial"/>
                <w:b/>
                <w:sz w:val="20"/>
                <w:szCs w:val="26"/>
                <w:lang w:val="nl-NL"/>
              </w:rPr>
            </w:pPr>
            <w:r w:rsidRPr="0033036C">
              <w:rPr>
                <w:rFonts w:ascii="Arial" w:eastAsia="Times New Roman" w:hAnsi="Arial" w:cs="Arial"/>
                <w:b/>
                <w:sz w:val="20"/>
                <w:szCs w:val="26"/>
                <w:lang w:val="nl-NL"/>
              </w:rPr>
              <w:t>30/0</w:t>
            </w:r>
            <w:r w:rsidR="000A4E97" w:rsidRPr="0033036C">
              <w:rPr>
                <w:rFonts w:ascii="Arial" w:eastAsia="Times New Roman" w:hAnsi="Arial" w:cs="Arial"/>
                <w:b/>
                <w:sz w:val="20"/>
                <w:szCs w:val="26"/>
                <w:lang w:val="nl-NL"/>
              </w:rPr>
              <w:t>9</w:t>
            </w:r>
            <w:r w:rsidRPr="0033036C">
              <w:rPr>
                <w:rFonts w:ascii="Arial" w:eastAsia="Times New Roman" w:hAnsi="Arial" w:cs="Arial"/>
                <w:b/>
                <w:sz w:val="20"/>
                <w:szCs w:val="26"/>
                <w:lang w:val="nl-NL"/>
              </w:rPr>
              <w:t>/2016</w:t>
            </w:r>
          </w:p>
          <w:p w:rsidR="00F54B2C" w:rsidRPr="0033036C" w:rsidRDefault="00F54B2C" w:rsidP="00F54B2C">
            <w:pPr>
              <w:tabs>
                <w:tab w:val="left" w:pos="540"/>
              </w:tabs>
              <w:spacing w:before="120" w:after="0" w:line="240" w:lineRule="auto"/>
              <w:jc w:val="center"/>
              <w:rPr>
                <w:rFonts w:ascii="Arial" w:eastAsia="Times New Roman" w:hAnsi="Arial" w:cs="Arial"/>
                <w:b/>
                <w:sz w:val="20"/>
                <w:szCs w:val="26"/>
                <w:lang w:val="nl-NL"/>
              </w:rPr>
            </w:pPr>
            <w:r w:rsidRPr="0033036C">
              <w:rPr>
                <w:rFonts w:ascii="Arial" w:eastAsia="Times New Roman" w:hAnsi="Arial" w:cs="Arial"/>
                <w:b/>
                <w:sz w:val="20"/>
                <w:szCs w:val="26"/>
                <w:lang w:val="nl-NL"/>
              </w:rPr>
              <w:t>(%)</w:t>
            </w:r>
          </w:p>
        </w:tc>
        <w:tc>
          <w:tcPr>
            <w:tcW w:w="1020" w:type="pct"/>
            <w:shd w:val="clear" w:color="auto" w:fill="auto"/>
          </w:tcPr>
          <w:p w:rsidR="00F54B2C" w:rsidRPr="0033036C" w:rsidRDefault="00F54B2C" w:rsidP="00F54B2C">
            <w:pPr>
              <w:tabs>
                <w:tab w:val="left" w:pos="540"/>
              </w:tabs>
              <w:spacing w:before="120" w:after="0" w:line="240" w:lineRule="auto"/>
              <w:jc w:val="center"/>
              <w:rPr>
                <w:rFonts w:ascii="Arial" w:eastAsia="Times New Roman" w:hAnsi="Arial" w:cs="Arial"/>
                <w:b/>
                <w:sz w:val="20"/>
                <w:szCs w:val="26"/>
                <w:lang w:val="nl-NL"/>
              </w:rPr>
            </w:pPr>
            <w:r w:rsidRPr="0033036C">
              <w:rPr>
                <w:rFonts w:ascii="Arial" w:eastAsia="Times New Roman" w:hAnsi="Arial" w:cs="Arial"/>
                <w:b/>
                <w:sz w:val="20"/>
                <w:szCs w:val="26"/>
                <w:lang w:val="nl-NL"/>
              </w:rPr>
              <w:t>30/0</w:t>
            </w:r>
            <w:r w:rsidR="000A4E97" w:rsidRPr="0033036C">
              <w:rPr>
                <w:rFonts w:ascii="Arial" w:eastAsia="Times New Roman" w:hAnsi="Arial" w:cs="Arial"/>
                <w:b/>
                <w:sz w:val="20"/>
                <w:szCs w:val="26"/>
                <w:lang w:val="nl-NL"/>
              </w:rPr>
              <w:t>9</w:t>
            </w:r>
            <w:r w:rsidRPr="0033036C">
              <w:rPr>
                <w:rFonts w:ascii="Arial" w:eastAsia="Times New Roman" w:hAnsi="Arial" w:cs="Arial"/>
                <w:b/>
                <w:sz w:val="20"/>
                <w:szCs w:val="26"/>
                <w:lang w:val="nl-NL"/>
              </w:rPr>
              <w:t>/2015</w:t>
            </w:r>
          </w:p>
          <w:p w:rsidR="00F54B2C" w:rsidRPr="0033036C" w:rsidRDefault="00F54B2C" w:rsidP="00F54B2C">
            <w:pPr>
              <w:tabs>
                <w:tab w:val="left" w:pos="540"/>
              </w:tabs>
              <w:spacing w:before="120" w:after="0" w:line="240" w:lineRule="auto"/>
              <w:jc w:val="center"/>
              <w:rPr>
                <w:rFonts w:ascii="Arial" w:eastAsia="Times New Roman" w:hAnsi="Arial" w:cs="Arial"/>
                <w:b/>
                <w:sz w:val="20"/>
                <w:szCs w:val="26"/>
                <w:lang w:val="nl-NL"/>
              </w:rPr>
            </w:pPr>
            <w:r w:rsidRPr="0033036C">
              <w:rPr>
                <w:rFonts w:ascii="Arial" w:eastAsia="Times New Roman" w:hAnsi="Arial" w:cs="Arial"/>
                <w:b/>
                <w:sz w:val="20"/>
                <w:szCs w:val="26"/>
                <w:lang w:val="nl-NL"/>
              </w:rPr>
              <w:t xml:space="preserve"> (%)</w:t>
            </w:r>
          </w:p>
        </w:tc>
        <w:tc>
          <w:tcPr>
            <w:tcW w:w="1065" w:type="pct"/>
            <w:shd w:val="clear" w:color="auto" w:fill="auto"/>
          </w:tcPr>
          <w:p w:rsidR="00F54B2C" w:rsidRPr="0033036C" w:rsidRDefault="00F54B2C" w:rsidP="00F54B2C">
            <w:pPr>
              <w:tabs>
                <w:tab w:val="left" w:pos="540"/>
              </w:tabs>
              <w:spacing w:before="120" w:after="0" w:line="240" w:lineRule="auto"/>
              <w:jc w:val="center"/>
              <w:rPr>
                <w:rFonts w:ascii="Arial" w:eastAsia="Times New Roman" w:hAnsi="Arial" w:cs="Arial"/>
                <w:b/>
                <w:sz w:val="20"/>
                <w:szCs w:val="26"/>
                <w:lang w:val="nl-NL"/>
              </w:rPr>
            </w:pPr>
            <w:r w:rsidRPr="0033036C">
              <w:rPr>
                <w:rFonts w:ascii="Arial" w:eastAsia="Times New Roman" w:hAnsi="Arial" w:cs="Arial"/>
                <w:b/>
                <w:sz w:val="20"/>
                <w:szCs w:val="26"/>
                <w:lang w:val="nl-NL"/>
              </w:rPr>
              <w:t>30/0</w:t>
            </w:r>
            <w:r w:rsidR="000A4E97" w:rsidRPr="0033036C">
              <w:rPr>
                <w:rFonts w:ascii="Arial" w:eastAsia="Times New Roman" w:hAnsi="Arial" w:cs="Arial"/>
                <w:b/>
                <w:sz w:val="20"/>
                <w:szCs w:val="26"/>
                <w:lang w:val="nl-NL"/>
              </w:rPr>
              <w:t>9</w:t>
            </w:r>
            <w:r w:rsidRPr="0033036C">
              <w:rPr>
                <w:rFonts w:ascii="Arial" w:eastAsia="Times New Roman" w:hAnsi="Arial" w:cs="Arial"/>
                <w:b/>
                <w:sz w:val="20"/>
                <w:szCs w:val="26"/>
                <w:lang w:val="nl-NL"/>
              </w:rPr>
              <w:t>/2014</w:t>
            </w:r>
          </w:p>
          <w:p w:rsidR="00F54B2C" w:rsidRPr="0033036C" w:rsidRDefault="00F54B2C" w:rsidP="00F54B2C">
            <w:pPr>
              <w:tabs>
                <w:tab w:val="left" w:pos="540"/>
              </w:tabs>
              <w:spacing w:before="120" w:after="0" w:line="240" w:lineRule="auto"/>
              <w:jc w:val="center"/>
              <w:rPr>
                <w:rFonts w:ascii="Arial" w:eastAsia="Times New Roman" w:hAnsi="Arial" w:cs="Arial"/>
                <w:b/>
                <w:sz w:val="20"/>
                <w:szCs w:val="26"/>
                <w:lang w:val="nl-NL"/>
              </w:rPr>
            </w:pPr>
            <w:r w:rsidRPr="0033036C">
              <w:rPr>
                <w:rFonts w:ascii="Arial" w:eastAsia="Times New Roman" w:hAnsi="Arial" w:cs="Arial"/>
                <w:b/>
                <w:sz w:val="20"/>
                <w:szCs w:val="26"/>
                <w:lang w:val="nl-NL"/>
              </w:rPr>
              <w:t xml:space="preserve"> (%)</w:t>
            </w:r>
          </w:p>
        </w:tc>
      </w:tr>
      <w:tr w:rsidR="00F54B2C" w:rsidRPr="0033036C" w:rsidTr="000F2734">
        <w:tc>
          <w:tcPr>
            <w:tcW w:w="1901" w:type="pct"/>
            <w:shd w:val="clear" w:color="auto" w:fill="auto"/>
            <w:vAlign w:val="center"/>
          </w:tcPr>
          <w:p w:rsidR="00F54B2C" w:rsidRPr="0033036C" w:rsidRDefault="00F54B2C" w:rsidP="00F54B2C">
            <w:pPr>
              <w:tabs>
                <w:tab w:val="left" w:pos="-18"/>
              </w:tabs>
              <w:spacing w:before="120" w:after="0" w:line="240" w:lineRule="auto"/>
              <w:rPr>
                <w:rFonts w:ascii="Arial" w:eastAsia="Times New Roman" w:hAnsi="Arial" w:cs="Arial"/>
                <w:sz w:val="20"/>
                <w:szCs w:val="26"/>
                <w:lang w:val="nl-NL"/>
              </w:rPr>
            </w:pPr>
            <w:r w:rsidRPr="0033036C">
              <w:rPr>
                <w:rFonts w:ascii="Arial" w:eastAsia="Times New Roman" w:hAnsi="Arial" w:cs="Arial"/>
                <w:sz w:val="20"/>
                <w:szCs w:val="26"/>
                <w:lang w:val="nl-NL"/>
              </w:rPr>
              <w:t xml:space="preserve">1.Danh mục chứng khoán </w:t>
            </w:r>
          </w:p>
        </w:tc>
        <w:tc>
          <w:tcPr>
            <w:tcW w:w="1014" w:type="pct"/>
            <w:shd w:val="clear" w:color="auto" w:fill="auto"/>
          </w:tcPr>
          <w:p w:rsidR="00F54B2C" w:rsidRPr="0033036C" w:rsidRDefault="000A4E97" w:rsidP="0033036C">
            <w:pPr>
              <w:pStyle w:val="NoSpacing"/>
              <w:jc w:val="center"/>
              <w:rPr>
                <w:color w:val="000000"/>
              </w:rPr>
            </w:pPr>
            <w:r w:rsidRPr="0033036C">
              <w:rPr>
                <w:color w:val="000000"/>
              </w:rPr>
              <w:t>77.6</w:t>
            </w:r>
          </w:p>
        </w:tc>
        <w:tc>
          <w:tcPr>
            <w:tcW w:w="1020" w:type="pct"/>
            <w:shd w:val="clear" w:color="auto" w:fill="auto"/>
          </w:tcPr>
          <w:p w:rsidR="00F54B2C" w:rsidRPr="0033036C" w:rsidRDefault="000A4E97" w:rsidP="0033036C">
            <w:pPr>
              <w:pStyle w:val="NoSpacing"/>
              <w:jc w:val="center"/>
              <w:rPr>
                <w:color w:val="000000"/>
              </w:rPr>
            </w:pPr>
            <w:r w:rsidRPr="0033036C">
              <w:rPr>
                <w:color w:val="000000"/>
              </w:rPr>
              <w:t>8</w:t>
            </w:r>
            <w:r w:rsidR="00F54B2C" w:rsidRPr="0033036C">
              <w:rPr>
                <w:color w:val="000000"/>
              </w:rPr>
              <w:t>4.2</w:t>
            </w:r>
          </w:p>
        </w:tc>
        <w:tc>
          <w:tcPr>
            <w:tcW w:w="1065" w:type="pct"/>
            <w:shd w:val="clear" w:color="auto" w:fill="auto"/>
          </w:tcPr>
          <w:p w:rsidR="00F54B2C" w:rsidRPr="0033036C" w:rsidRDefault="000A4E97" w:rsidP="0033036C">
            <w:pPr>
              <w:pStyle w:val="NoSpacing"/>
              <w:jc w:val="center"/>
              <w:rPr>
                <w:color w:val="000000"/>
              </w:rPr>
            </w:pPr>
            <w:r w:rsidRPr="0033036C">
              <w:rPr>
                <w:color w:val="000000"/>
              </w:rPr>
              <w:t>92.9</w:t>
            </w:r>
          </w:p>
        </w:tc>
      </w:tr>
      <w:tr w:rsidR="00F54B2C" w:rsidRPr="0033036C" w:rsidTr="000F2734">
        <w:tc>
          <w:tcPr>
            <w:tcW w:w="1901" w:type="pct"/>
            <w:shd w:val="clear" w:color="auto" w:fill="auto"/>
            <w:vAlign w:val="center"/>
          </w:tcPr>
          <w:p w:rsidR="00F54B2C" w:rsidRPr="0033036C" w:rsidRDefault="00F54B2C" w:rsidP="00F54B2C">
            <w:pPr>
              <w:tabs>
                <w:tab w:val="left" w:pos="223"/>
              </w:tabs>
              <w:spacing w:before="120" w:after="0" w:line="240" w:lineRule="auto"/>
              <w:rPr>
                <w:rFonts w:ascii="Arial" w:eastAsia="Times New Roman" w:hAnsi="Arial" w:cs="Arial"/>
                <w:sz w:val="20"/>
                <w:szCs w:val="26"/>
                <w:lang w:val="nl-NL"/>
              </w:rPr>
            </w:pPr>
            <w:r w:rsidRPr="0033036C">
              <w:rPr>
                <w:rFonts w:ascii="Arial" w:eastAsia="Times New Roman" w:hAnsi="Arial" w:cs="Arial"/>
                <w:sz w:val="20"/>
                <w:szCs w:val="26"/>
                <w:lang w:val="nl-NL"/>
              </w:rPr>
              <w:t>2.Tài sản khác</w:t>
            </w:r>
          </w:p>
        </w:tc>
        <w:tc>
          <w:tcPr>
            <w:tcW w:w="1014" w:type="pct"/>
            <w:shd w:val="clear" w:color="auto" w:fill="auto"/>
          </w:tcPr>
          <w:p w:rsidR="00F54B2C" w:rsidRPr="0033036C" w:rsidRDefault="000A4E97" w:rsidP="0033036C">
            <w:pPr>
              <w:pStyle w:val="NoSpacing"/>
              <w:jc w:val="center"/>
              <w:rPr>
                <w:color w:val="000000"/>
              </w:rPr>
            </w:pPr>
            <w:r w:rsidRPr="0033036C">
              <w:rPr>
                <w:color w:val="000000"/>
              </w:rPr>
              <w:t>22.4</w:t>
            </w:r>
          </w:p>
        </w:tc>
        <w:tc>
          <w:tcPr>
            <w:tcW w:w="1020" w:type="pct"/>
            <w:shd w:val="clear" w:color="auto" w:fill="auto"/>
          </w:tcPr>
          <w:p w:rsidR="00F54B2C" w:rsidRPr="0033036C" w:rsidRDefault="000A4E97" w:rsidP="0033036C">
            <w:pPr>
              <w:pStyle w:val="NoSpacing"/>
              <w:jc w:val="center"/>
              <w:rPr>
                <w:color w:val="000000"/>
              </w:rPr>
            </w:pPr>
            <w:r w:rsidRPr="0033036C">
              <w:rPr>
                <w:color w:val="000000"/>
              </w:rPr>
              <w:t>1</w:t>
            </w:r>
            <w:r w:rsidR="00F54B2C" w:rsidRPr="0033036C">
              <w:rPr>
                <w:color w:val="000000"/>
              </w:rPr>
              <w:t>5.8</w:t>
            </w:r>
          </w:p>
        </w:tc>
        <w:tc>
          <w:tcPr>
            <w:tcW w:w="1065" w:type="pct"/>
            <w:shd w:val="clear" w:color="auto" w:fill="auto"/>
          </w:tcPr>
          <w:p w:rsidR="00F54B2C" w:rsidRPr="0033036C" w:rsidRDefault="000A4E97" w:rsidP="0033036C">
            <w:pPr>
              <w:pStyle w:val="NoSpacing"/>
              <w:jc w:val="center"/>
              <w:rPr>
                <w:color w:val="000000"/>
              </w:rPr>
            </w:pPr>
            <w:r w:rsidRPr="0033036C">
              <w:rPr>
                <w:color w:val="000000"/>
              </w:rPr>
              <w:t>7.1</w:t>
            </w:r>
          </w:p>
        </w:tc>
      </w:tr>
      <w:tr w:rsidR="0060532E" w:rsidRPr="0033036C" w:rsidTr="000F2734">
        <w:tc>
          <w:tcPr>
            <w:tcW w:w="1901" w:type="pct"/>
            <w:shd w:val="clear" w:color="auto" w:fill="auto"/>
            <w:vAlign w:val="center"/>
          </w:tcPr>
          <w:p w:rsidR="0060532E" w:rsidRPr="0033036C" w:rsidRDefault="0060532E" w:rsidP="003201B7">
            <w:pPr>
              <w:tabs>
                <w:tab w:val="left" w:pos="540"/>
              </w:tabs>
              <w:spacing w:before="120" w:after="0" w:line="240" w:lineRule="auto"/>
              <w:rPr>
                <w:rFonts w:ascii="Arial" w:eastAsia="Times New Roman" w:hAnsi="Arial" w:cs="Arial"/>
                <w:b/>
                <w:sz w:val="20"/>
                <w:szCs w:val="26"/>
                <w:lang w:val="nl-NL"/>
              </w:rPr>
            </w:pPr>
            <w:r w:rsidRPr="0033036C">
              <w:rPr>
                <w:rFonts w:ascii="Arial" w:eastAsia="Times New Roman" w:hAnsi="Arial" w:cs="Arial"/>
                <w:b/>
                <w:sz w:val="20"/>
                <w:szCs w:val="26"/>
                <w:lang w:val="nl-NL"/>
              </w:rPr>
              <w:t>Cộng</w:t>
            </w:r>
          </w:p>
        </w:tc>
        <w:tc>
          <w:tcPr>
            <w:tcW w:w="1014" w:type="pct"/>
            <w:shd w:val="clear" w:color="auto" w:fill="auto"/>
            <w:vAlign w:val="center"/>
          </w:tcPr>
          <w:p w:rsidR="0060532E" w:rsidRPr="0033036C" w:rsidRDefault="0060532E" w:rsidP="0033036C">
            <w:pPr>
              <w:tabs>
                <w:tab w:val="left" w:pos="540"/>
              </w:tabs>
              <w:spacing w:before="120" w:after="0" w:line="240" w:lineRule="auto"/>
              <w:jc w:val="center"/>
              <w:rPr>
                <w:rFonts w:ascii="Arial" w:eastAsia="Times New Roman" w:hAnsi="Arial" w:cs="Arial"/>
                <w:b/>
                <w:sz w:val="20"/>
                <w:szCs w:val="26"/>
                <w:lang w:val="nl-NL"/>
              </w:rPr>
            </w:pPr>
            <w:r w:rsidRPr="0033036C">
              <w:rPr>
                <w:rFonts w:ascii="Arial" w:eastAsia="Times New Roman" w:hAnsi="Arial" w:cs="Arial"/>
                <w:b/>
                <w:sz w:val="20"/>
                <w:szCs w:val="26"/>
                <w:lang w:val="nl-NL"/>
              </w:rPr>
              <w:t>100,00</w:t>
            </w:r>
          </w:p>
        </w:tc>
        <w:tc>
          <w:tcPr>
            <w:tcW w:w="1020" w:type="pct"/>
            <w:shd w:val="clear" w:color="auto" w:fill="auto"/>
            <w:vAlign w:val="center"/>
          </w:tcPr>
          <w:p w:rsidR="0060532E" w:rsidRPr="0033036C" w:rsidRDefault="0060532E" w:rsidP="0033036C">
            <w:pPr>
              <w:tabs>
                <w:tab w:val="left" w:pos="540"/>
              </w:tabs>
              <w:spacing w:before="120" w:after="0" w:line="240" w:lineRule="auto"/>
              <w:jc w:val="center"/>
              <w:rPr>
                <w:rFonts w:ascii="Arial" w:eastAsia="Times New Roman" w:hAnsi="Arial" w:cs="Arial"/>
                <w:b/>
                <w:sz w:val="20"/>
                <w:szCs w:val="26"/>
                <w:lang w:val="nl-NL"/>
              </w:rPr>
            </w:pPr>
            <w:r w:rsidRPr="0033036C">
              <w:rPr>
                <w:rFonts w:ascii="Arial" w:eastAsia="Times New Roman" w:hAnsi="Arial" w:cs="Arial"/>
                <w:b/>
                <w:sz w:val="20"/>
                <w:szCs w:val="26"/>
                <w:lang w:val="nl-NL"/>
              </w:rPr>
              <w:t>100,00</w:t>
            </w:r>
          </w:p>
        </w:tc>
        <w:tc>
          <w:tcPr>
            <w:tcW w:w="1065" w:type="pct"/>
            <w:shd w:val="clear" w:color="auto" w:fill="auto"/>
            <w:vAlign w:val="center"/>
          </w:tcPr>
          <w:p w:rsidR="0060532E" w:rsidRPr="0033036C" w:rsidRDefault="0060532E" w:rsidP="0033036C">
            <w:pPr>
              <w:tabs>
                <w:tab w:val="left" w:pos="540"/>
              </w:tabs>
              <w:spacing w:before="120" w:after="0" w:line="240" w:lineRule="auto"/>
              <w:jc w:val="center"/>
              <w:rPr>
                <w:rFonts w:ascii="Arial" w:eastAsia="Times New Roman" w:hAnsi="Arial" w:cs="Arial"/>
                <w:b/>
                <w:sz w:val="20"/>
                <w:szCs w:val="26"/>
                <w:lang w:val="nl-NL"/>
              </w:rPr>
            </w:pPr>
            <w:r w:rsidRPr="0033036C">
              <w:rPr>
                <w:rFonts w:ascii="Arial" w:eastAsia="Times New Roman" w:hAnsi="Arial" w:cs="Arial"/>
                <w:b/>
                <w:sz w:val="20"/>
                <w:szCs w:val="26"/>
                <w:lang w:val="nl-NL"/>
              </w:rPr>
              <w:t>100,00</w:t>
            </w:r>
          </w:p>
        </w:tc>
      </w:tr>
    </w:tbl>
    <w:p w:rsidR="0060532E" w:rsidRPr="0033036C" w:rsidRDefault="0060532E" w:rsidP="0060532E">
      <w:pPr>
        <w:shd w:val="clear" w:color="auto" w:fill="FFFFFF"/>
        <w:tabs>
          <w:tab w:val="left" w:pos="540"/>
        </w:tabs>
        <w:spacing w:before="120" w:after="0" w:line="240" w:lineRule="auto"/>
        <w:rPr>
          <w:rFonts w:ascii="Arial" w:hAnsi="Arial" w:cs="Arial"/>
          <w:b/>
          <w:sz w:val="20"/>
          <w:szCs w:val="26"/>
          <w:lang w:val="nl-NL"/>
        </w:rPr>
      </w:pPr>
      <w:r w:rsidRPr="0033036C">
        <w:rPr>
          <w:rFonts w:ascii="Arial" w:hAnsi="Arial" w:cs="Arial"/>
          <w:b/>
          <w:sz w:val="20"/>
          <w:szCs w:val="26"/>
          <w:lang w:val="nl-NL"/>
        </w:rPr>
        <w:t>2. Chi tiết chỉ tiêu hoạt động (N: Đến thời điểm báo cáo):</w:t>
      </w:r>
    </w:p>
    <w:tbl>
      <w:tblPr>
        <w:tblW w:w="93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3544"/>
        <w:gridCol w:w="2213"/>
        <w:gridCol w:w="1629"/>
        <w:gridCol w:w="1968"/>
      </w:tblGrid>
      <w:tr w:rsidR="007B172B" w:rsidRPr="0033036C" w:rsidTr="0033036C">
        <w:tc>
          <w:tcPr>
            <w:tcW w:w="1894" w:type="pct"/>
            <w:shd w:val="clear" w:color="auto" w:fill="auto"/>
            <w:vAlign w:val="center"/>
          </w:tcPr>
          <w:p w:rsidR="007B172B" w:rsidRPr="0033036C" w:rsidRDefault="007B172B" w:rsidP="007B172B">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Chi tiêu</w:t>
            </w:r>
          </w:p>
        </w:tc>
        <w:tc>
          <w:tcPr>
            <w:tcW w:w="1183" w:type="pct"/>
            <w:shd w:val="clear" w:color="auto" w:fill="auto"/>
            <w:vAlign w:val="center"/>
          </w:tcPr>
          <w:p w:rsidR="007B172B" w:rsidRPr="0033036C" w:rsidRDefault="007B172B" w:rsidP="007B172B">
            <w:pPr>
              <w:tabs>
                <w:tab w:val="left" w:pos="540"/>
              </w:tabs>
              <w:spacing w:after="0" w:line="240" w:lineRule="auto"/>
              <w:jc w:val="center"/>
              <w:rPr>
                <w:rFonts w:ascii="Times New Roman" w:eastAsia="Times New Roman" w:hAnsi="Times New Roman"/>
                <w:b/>
                <w:lang w:val="nl-NL"/>
              </w:rPr>
            </w:pPr>
            <w:r w:rsidRPr="0033036C">
              <w:rPr>
                <w:rFonts w:ascii="Times New Roman" w:eastAsia="Times New Roman" w:hAnsi="Times New Roman"/>
                <w:b/>
                <w:lang w:val="nl-NL"/>
              </w:rPr>
              <w:t>30/</w:t>
            </w:r>
            <w:r w:rsidR="009A1165" w:rsidRPr="0033036C">
              <w:rPr>
                <w:rFonts w:ascii="Times New Roman" w:eastAsia="Times New Roman" w:hAnsi="Times New Roman"/>
                <w:b/>
                <w:lang w:val="nl-NL"/>
              </w:rPr>
              <w:t>9</w:t>
            </w:r>
            <w:r w:rsidRPr="0033036C">
              <w:rPr>
                <w:rFonts w:ascii="Times New Roman" w:eastAsia="Times New Roman" w:hAnsi="Times New Roman"/>
                <w:b/>
                <w:lang w:val="nl-NL"/>
              </w:rPr>
              <w:t>/2016</w:t>
            </w:r>
          </w:p>
        </w:tc>
        <w:tc>
          <w:tcPr>
            <w:tcW w:w="871" w:type="pct"/>
            <w:shd w:val="clear" w:color="auto" w:fill="auto"/>
            <w:vAlign w:val="center"/>
          </w:tcPr>
          <w:p w:rsidR="007B172B" w:rsidRPr="0033036C" w:rsidRDefault="007B172B" w:rsidP="007B172B">
            <w:pPr>
              <w:tabs>
                <w:tab w:val="left" w:pos="540"/>
              </w:tabs>
              <w:spacing w:after="0" w:line="240" w:lineRule="auto"/>
              <w:jc w:val="center"/>
              <w:rPr>
                <w:rFonts w:ascii="Times New Roman" w:eastAsia="Times New Roman" w:hAnsi="Times New Roman"/>
                <w:b/>
                <w:lang w:val="nl-NL"/>
              </w:rPr>
            </w:pPr>
            <w:r w:rsidRPr="0033036C">
              <w:rPr>
                <w:rFonts w:ascii="Times New Roman" w:eastAsia="Times New Roman" w:hAnsi="Times New Roman"/>
                <w:b/>
                <w:lang w:val="nl-NL"/>
              </w:rPr>
              <w:t>30/</w:t>
            </w:r>
            <w:r w:rsidR="009A1165" w:rsidRPr="0033036C">
              <w:rPr>
                <w:rFonts w:ascii="Times New Roman" w:eastAsia="Times New Roman" w:hAnsi="Times New Roman"/>
                <w:b/>
                <w:lang w:val="nl-NL"/>
              </w:rPr>
              <w:t>9</w:t>
            </w:r>
            <w:r w:rsidRPr="0033036C">
              <w:rPr>
                <w:rFonts w:ascii="Times New Roman" w:eastAsia="Times New Roman" w:hAnsi="Times New Roman"/>
                <w:b/>
                <w:lang w:val="nl-NL"/>
              </w:rPr>
              <w:t>/2015</w:t>
            </w:r>
          </w:p>
        </w:tc>
        <w:tc>
          <w:tcPr>
            <w:tcW w:w="1052" w:type="pct"/>
            <w:shd w:val="clear" w:color="auto" w:fill="auto"/>
            <w:vAlign w:val="center"/>
          </w:tcPr>
          <w:p w:rsidR="007B172B" w:rsidRPr="0033036C" w:rsidRDefault="007B172B" w:rsidP="007B172B">
            <w:pPr>
              <w:tabs>
                <w:tab w:val="left" w:pos="540"/>
              </w:tabs>
              <w:spacing w:after="0" w:line="240" w:lineRule="auto"/>
              <w:jc w:val="center"/>
              <w:rPr>
                <w:rFonts w:ascii="Times New Roman" w:eastAsia="Times New Roman" w:hAnsi="Times New Roman"/>
                <w:b/>
                <w:lang w:val="nl-NL"/>
              </w:rPr>
            </w:pPr>
            <w:r w:rsidRPr="0033036C">
              <w:rPr>
                <w:rFonts w:ascii="Times New Roman" w:eastAsia="Times New Roman" w:hAnsi="Times New Roman"/>
                <w:b/>
                <w:lang w:val="nl-NL"/>
              </w:rPr>
              <w:t>30/</w:t>
            </w:r>
            <w:r w:rsidR="009A1165" w:rsidRPr="0033036C">
              <w:rPr>
                <w:rFonts w:ascii="Times New Roman" w:eastAsia="Times New Roman" w:hAnsi="Times New Roman"/>
                <w:b/>
                <w:lang w:val="nl-NL"/>
              </w:rPr>
              <w:t>9</w:t>
            </w:r>
            <w:r w:rsidRPr="0033036C">
              <w:rPr>
                <w:rFonts w:ascii="Times New Roman" w:eastAsia="Times New Roman" w:hAnsi="Times New Roman"/>
                <w:b/>
                <w:lang w:val="nl-NL"/>
              </w:rPr>
              <w:t>/2014</w:t>
            </w:r>
          </w:p>
        </w:tc>
      </w:tr>
      <w:tr w:rsidR="007B172B" w:rsidRPr="0033036C" w:rsidTr="0033036C">
        <w:tc>
          <w:tcPr>
            <w:tcW w:w="1894" w:type="pct"/>
            <w:shd w:val="clear" w:color="auto" w:fill="auto"/>
            <w:vAlign w:val="center"/>
          </w:tcPr>
          <w:p w:rsidR="007B172B" w:rsidRPr="0033036C" w:rsidRDefault="007B172B" w:rsidP="007B172B">
            <w:pPr>
              <w:tabs>
                <w:tab w:val="left" w:pos="540"/>
              </w:tabs>
              <w:spacing w:before="120" w:after="0" w:line="240" w:lineRule="auto"/>
              <w:rPr>
                <w:rFonts w:ascii="Arial" w:eastAsia="Times New Roman" w:hAnsi="Arial" w:cs="Arial"/>
                <w:sz w:val="20"/>
                <w:szCs w:val="26"/>
                <w:lang w:val="nl-NL"/>
              </w:rPr>
            </w:pPr>
            <w:r w:rsidRPr="0033036C">
              <w:rPr>
                <w:rFonts w:ascii="Arial" w:eastAsia="Times New Roman" w:hAnsi="Arial" w:cs="Arial"/>
                <w:sz w:val="20"/>
                <w:szCs w:val="26"/>
                <w:lang w:val="nl-NL"/>
              </w:rPr>
              <w:t>2.1.Giá trị tài sản ròng của Quỹ</w:t>
            </w:r>
          </w:p>
        </w:tc>
        <w:tc>
          <w:tcPr>
            <w:tcW w:w="1183" w:type="pct"/>
            <w:shd w:val="clear" w:color="auto" w:fill="auto"/>
            <w:vAlign w:val="center"/>
          </w:tcPr>
          <w:p w:rsidR="007B172B" w:rsidRPr="0033036C" w:rsidRDefault="0033036C" w:rsidP="0033036C">
            <w:pPr>
              <w:spacing w:after="0" w:line="240" w:lineRule="auto"/>
              <w:rPr>
                <w:rFonts w:ascii="Times New Roman" w:eastAsia="Times New Roman" w:hAnsi="Times New Roman"/>
                <w:color w:val="000000"/>
              </w:rPr>
            </w:pPr>
            <w:r>
              <w:rPr>
                <w:color w:val="000000"/>
              </w:rPr>
              <w:t xml:space="preserve">          </w:t>
            </w:r>
            <w:r w:rsidR="00855506" w:rsidRPr="0033036C">
              <w:rPr>
                <w:color w:val="000000"/>
              </w:rPr>
              <w:t xml:space="preserve"> 363,735,550,880 </w:t>
            </w:r>
          </w:p>
        </w:tc>
        <w:tc>
          <w:tcPr>
            <w:tcW w:w="871" w:type="pct"/>
            <w:shd w:val="clear" w:color="auto" w:fill="auto"/>
            <w:vAlign w:val="center"/>
          </w:tcPr>
          <w:p w:rsidR="007B172B" w:rsidRPr="0033036C" w:rsidRDefault="0033036C" w:rsidP="0033036C">
            <w:pPr>
              <w:spacing w:before="120" w:after="0" w:line="240" w:lineRule="auto"/>
              <w:ind w:right="90"/>
              <w:rPr>
                <w:rFonts w:ascii="Times New Roman" w:eastAsia="Times New Roman" w:hAnsi="Times New Roman"/>
                <w:sz w:val="20"/>
                <w:szCs w:val="20"/>
                <w:lang w:val="nl-NL"/>
              </w:rPr>
            </w:pPr>
            <w:r w:rsidRPr="0033036C">
              <w:rPr>
                <w:rFonts w:ascii="Times New Roman" w:eastAsia="Times New Roman" w:hAnsi="Times New Roman"/>
                <w:sz w:val="20"/>
                <w:szCs w:val="20"/>
                <w:lang w:val="nl-NL"/>
              </w:rPr>
              <w:t xml:space="preserve">  </w:t>
            </w:r>
            <w:r w:rsidR="00855506" w:rsidRPr="0033036C">
              <w:rPr>
                <w:rFonts w:ascii="Times New Roman" w:eastAsia="Times New Roman" w:hAnsi="Times New Roman"/>
                <w:sz w:val="20"/>
                <w:szCs w:val="20"/>
                <w:lang w:val="nl-NL"/>
              </w:rPr>
              <w:t>301,942,771,909</w:t>
            </w:r>
          </w:p>
        </w:tc>
        <w:tc>
          <w:tcPr>
            <w:tcW w:w="1052" w:type="pct"/>
            <w:shd w:val="clear" w:color="auto" w:fill="auto"/>
            <w:vAlign w:val="center"/>
          </w:tcPr>
          <w:p w:rsidR="007B172B" w:rsidRPr="0033036C" w:rsidRDefault="0033036C" w:rsidP="0033036C">
            <w:pPr>
              <w:spacing w:after="0" w:line="240" w:lineRule="auto"/>
              <w:jc w:val="center"/>
              <w:rPr>
                <w:rFonts w:ascii="Times New Roman" w:eastAsia="Times New Roman" w:hAnsi="Times New Roman"/>
                <w:sz w:val="20"/>
                <w:szCs w:val="20"/>
                <w:lang w:val="nl-NL"/>
              </w:rPr>
            </w:pPr>
            <w:r>
              <w:rPr>
                <w:rFonts w:ascii="Times New Roman" w:eastAsia="Times New Roman" w:hAnsi="Times New Roman"/>
                <w:sz w:val="20"/>
                <w:szCs w:val="20"/>
                <w:lang w:val="nl-NL"/>
              </w:rPr>
              <w:t xml:space="preserve">                      </w:t>
            </w:r>
            <w:r w:rsidRPr="0033036C">
              <w:rPr>
                <w:color w:val="000000"/>
              </w:rPr>
              <w:t>463,509,214,236</w:t>
            </w:r>
          </w:p>
        </w:tc>
      </w:tr>
      <w:tr w:rsidR="007B172B" w:rsidRPr="0033036C" w:rsidTr="0033036C">
        <w:tc>
          <w:tcPr>
            <w:tcW w:w="1894" w:type="pct"/>
            <w:shd w:val="clear" w:color="auto" w:fill="auto"/>
            <w:vAlign w:val="center"/>
          </w:tcPr>
          <w:p w:rsidR="007B172B" w:rsidRPr="0033036C" w:rsidRDefault="007B172B" w:rsidP="007B172B">
            <w:pPr>
              <w:tabs>
                <w:tab w:val="left" w:pos="540"/>
              </w:tabs>
              <w:spacing w:before="120" w:after="0" w:line="240" w:lineRule="auto"/>
              <w:rPr>
                <w:rFonts w:ascii="Arial" w:eastAsia="Times New Roman" w:hAnsi="Arial" w:cs="Arial"/>
                <w:sz w:val="20"/>
                <w:szCs w:val="26"/>
                <w:lang w:val="nl-NL"/>
              </w:rPr>
            </w:pPr>
            <w:r w:rsidRPr="0033036C">
              <w:rPr>
                <w:rFonts w:ascii="Arial" w:eastAsia="Times New Roman" w:hAnsi="Arial" w:cs="Arial"/>
                <w:sz w:val="20"/>
                <w:szCs w:val="26"/>
                <w:lang w:val="nl-NL"/>
              </w:rPr>
              <w:t>2.2.Tổng số chứng chỉ quỹ đang lưu hành</w:t>
            </w:r>
          </w:p>
        </w:tc>
        <w:tc>
          <w:tcPr>
            <w:tcW w:w="1183" w:type="pct"/>
            <w:shd w:val="clear" w:color="auto" w:fill="auto"/>
            <w:vAlign w:val="center"/>
          </w:tcPr>
          <w:p w:rsidR="0033036C" w:rsidRDefault="0033036C" w:rsidP="00855506">
            <w:pPr>
              <w:spacing w:after="0" w:line="240" w:lineRule="auto"/>
              <w:jc w:val="right"/>
              <w:rPr>
                <w:color w:val="000000"/>
              </w:rPr>
            </w:pPr>
            <w:r>
              <w:rPr>
                <w:color w:val="000000"/>
              </w:rPr>
              <w:t xml:space="preserve">                 </w:t>
            </w:r>
          </w:p>
          <w:p w:rsidR="0033036C" w:rsidRDefault="0033036C" w:rsidP="00855506">
            <w:pPr>
              <w:spacing w:after="0" w:line="240" w:lineRule="auto"/>
              <w:jc w:val="right"/>
              <w:rPr>
                <w:color w:val="000000"/>
              </w:rPr>
            </w:pPr>
          </w:p>
          <w:p w:rsidR="00855506" w:rsidRPr="0033036C" w:rsidRDefault="0033036C" w:rsidP="00855506">
            <w:pPr>
              <w:spacing w:after="0" w:line="240" w:lineRule="auto"/>
              <w:jc w:val="right"/>
              <w:rPr>
                <w:rFonts w:ascii="Times New Roman" w:eastAsia="Times New Roman" w:hAnsi="Times New Roman"/>
                <w:color w:val="000000"/>
              </w:rPr>
            </w:pPr>
            <w:r>
              <w:rPr>
                <w:color w:val="000000"/>
              </w:rPr>
              <w:t xml:space="preserve"> </w:t>
            </w:r>
            <w:r w:rsidR="00855506" w:rsidRPr="0033036C">
              <w:rPr>
                <w:color w:val="000000"/>
              </w:rPr>
              <w:t xml:space="preserve">27,659,595.92 </w:t>
            </w:r>
          </w:p>
          <w:p w:rsidR="007B172B" w:rsidRPr="0033036C" w:rsidRDefault="007B172B" w:rsidP="007B172B">
            <w:pPr>
              <w:spacing w:before="120" w:after="0" w:line="240" w:lineRule="auto"/>
              <w:ind w:right="90"/>
              <w:jc w:val="right"/>
              <w:rPr>
                <w:rFonts w:ascii="Times New Roman" w:eastAsia="Times New Roman" w:hAnsi="Times New Roman"/>
                <w:lang w:val="nl-NL"/>
              </w:rPr>
            </w:pPr>
          </w:p>
        </w:tc>
        <w:tc>
          <w:tcPr>
            <w:tcW w:w="871" w:type="pct"/>
            <w:shd w:val="clear" w:color="auto" w:fill="auto"/>
            <w:vAlign w:val="center"/>
          </w:tcPr>
          <w:p w:rsidR="0033036C" w:rsidRDefault="0033036C" w:rsidP="009056AB">
            <w:pPr>
              <w:spacing w:after="0" w:line="240" w:lineRule="auto"/>
              <w:jc w:val="right"/>
              <w:rPr>
                <w:color w:val="000000"/>
              </w:rPr>
            </w:pPr>
            <w:r>
              <w:rPr>
                <w:color w:val="000000"/>
              </w:rPr>
              <w:t xml:space="preserve">                 </w:t>
            </w:r>
          </w:p>
          <w:p w:rsidR="0033036C" w:rsidRDefault="0033036C" w:rsidP="009056AB">
            <w:pPr>
              <w:spacing w:after="0" w:line="240" w:lineRule="auto"/>
              <w:jc w:val="right"/>
              <w:rPr>
                <w:color w:val="000000"/>
              </w:rPr>
            </w:pPr>
          </w:p>
          <w:p w:rsidR="009056AB" w:rsidRPr="0033036C" w:rsidRDefault="009056AB" w:rsidP="009056AB">
            <w:pPr>
              <w:spacing w:after="0" w:line="240" w:lineRule="auto"/>
              <w:jc w:val="right"/>
              <w:rPr>
                <w:rFonts w:ascii="Times New Roman" w:eastAsia="Times New Roman" w:hAnsi="Times New Roman"/>
                <w:color w:val="000000"/>
              </w:rPr>
            </w:pPr>
            <w:r w:rsidRPr="0033036C">
              <w:rPr>
                <w:color w:val="000000"/>
              </w:rPr>
              <w:t xml:space="preserve">29,907,227.25 </w:t>
            </w:r>
          </w:p>
          <w:p w:rsidR="007B172B" w:rsidRPr="0033036C" w:rsidRDefault="007B172B" w:rsidP="007B172B">
            <w:pPr>
              <w:spacing w:before="120" w:after="0" w:line="240" w:lineRule="auto"/>
              <w:ind w:right="90"/>
              <w:jc w:val="right"/>
              <w:rPr>
                <w:rFonts w:ascii="Times New Roman" w:eastAsia="Times New Roman" w:hAnsi="Times New Roman"/>
                <w:lang w:val="nl-NL"/>
              </w:rPr>
            </w:pPr>
          </w:p>
        </w:tc>
        <w:tc>
          <w:tcPr>
            <w:tcW w:w="1052" w:type="pct"/>
            <w:shd w:val="clear" w:color="auto" w:fill="auto"/>
            <w:vAlign w:val="center"/>
          </w:tcPr>
          <w:p w:rsidR="009056AB" w:rsidRPr="0033036C" w:rsidRDefault="007B172B" w:rsidP="007B172B">
            <w:pPr>
              <w:spacing w:after="0" w:line="240" w:lineRule="auto"/>
              <w:jc w:val="center"/>
              <w:rPr>
                <w:rFonts w:ascii="Arial" w:hAnsi="Arial" w:cs="Arial"/>
                <w:sz w:val="20"/>
                <w:szCs w:val="20"/>
              </w:rPr>
            </w:pPr>
            <w:r w:rsidRPr="0033036C">
              <w:rPr>
                <w:rFonts w:ascii="Arial" w:hAnsi="Arial" w:cs="Arial"/>
                <w:sz w:val="20"/>
                <w:szCs w:val="20"/>
              </w:rPr>
              <w:t xml:space="preserve">                    </w:t>
            </w:r>
          </w:p>
          <w:p w:rsidR="009056AB" w:rsidRPr="0033036C" w:rsidRDefault="0033036C" w:rsidP="009056AB">
            <w:pPr>
              <w:spacing w:after="0" w:line="240" w:lineRule="auto"/>
              <w:jc w:val="center"/>
              <w:rPr>
                <w:rFonts w:ascii="Times New Roman" w:eastAsia="Times New Roman" w:hAnsi="Times New Roman"/>
                <w:color w:val="000000"/>
              </w:rPr>
            </w:pPr>
            <w:r>
              <w:rPr>
                <w:color w:val="000000"/>
              </w:rPr>
              <w:t xml:space="preserve">                </w:t>
            </w:r>
            <w:r w:rsidR="009056AB" w:rsidRPr="0033036C">
              <w:rPr>
                <w:color w:val="000000"/>
              </w:rPr>
              <w:t xml:space="preserve">44,501,740.81 </w:t>
            </w:r>
          </w:p>
          <w:p w:rsidR="007B172B" w:rsidRPr="0033036C" w:rsidRDefault="007B172B" w:rsidP="0033036C">
            <w:pPr>
              <w:tabs>
                <w:tab w:val="left" w:pos="540"/>
              </w:tabs>
              <w:spacing w:before="120" w:after="0" w:line="240" w:lineRule="auto"/>
              <w:rPr>
                <w:rFonts w:ascii="Arial" w:eastAsia="Times New Roman" w:hAnsi="Arial" w:cs="Arial"/>
                <w:sz w:val="20"/>
                <w:szCs w:val="26"/>
                <w:lang w:val="nl-NL"/>
              </w:rPr>
            </w:pPr>
          </w:p>
        </w:tc>
      </w:tr>
      <w:tr w:rsidR="007B172B" w:rsidRPr="0033036C" w:rsidTr="0033036C">
        <w:tc>
          <w:tcPr>
            <w:tcW w:w="1894" w:type="pct"/>
            <w:shd w:val="clear" w:color="auto" w:fill="auto"/>
            <w:vAlign w:val="center"/>
          </w:tcPr>
          <w:p w:rsidR="007B172B" w:rsidRPr="0033036C" w:rsidRDefault="007B172B" w:rsidP="007B172B">
            <w:pPr>
              <w:tabs>
                <w:tab w:val="left" w:pos="540"/>
              </w:tabs>
              <w:spacing w:before="120" w:after="0" w:line="240" w:lineRule="auto"/>
              <w:rPr>
                <w:rFonts w:ascii="Arial" w:eastAsia="Times New Roman" w:hAnsi="Arial" w:cs="Arial"/>
                <w:sz w:val="20"/>
                <w:szCs w:val="26"/>
                <w:lang w:val="nl-NL"/>
              </w:rPr>
            </w:pPr>
            <w:r w:rsidRPr="0033036C">
              <w:rPr>
                <w:rFonts w:ascii="Arial" w:eastAsia="Times New Roman" w:hAnsi="Arial" w:cs="Arial"/>
                <w:sz w:val="20"/>
                <w:szCs w:val="26"/>
                <w:lang w:val="nl-NL"/>
              </w:rPr>
              <w:t>2.3.Giá trị tài sản ròng của một đơn vị Chứng chỉ quỹ (CCQ)</w:t>
            </w:r>
          </w:p>
        </w:tc>
        <w:tc>
          <w:tcPr>
            <w:tcW w:w="1183" w:type="pct"/>
            <w:shd w:val="clear" w:color="auto" w:fill="auto"/>
            <w:vAlign w:val="center"/>
          </w:tcPr>
          <w:p w:rsidR="007B172B" w:rsidRPr="0033036C" w:rsidRDefault="0033036C" w:rsidP="0033036C">
            <w:pPr>
              <w:spacing w:after="0" w:line="240" w:lineRule="auto"/>
              <w:jc w:val="center"/>
              <w:rPr>
                <w:rFonts w:ascii="Times New Roman" w:eastAsia="Times New Roman" w:hAnsi="Times New Roman"/>
                <w:color w:val="000000"/>
              </w:rPr>
            </w:pPr>
            <w:r>
              <w:rPr>
                <w:color w:val="000000"/>
              </w:rPr>
              <w:t xml:space="preserve">            </w:t>
            </w:r>
            <w:r w:rsidR="009056AB" w:rsidRPr="0033036C">
              <w:rPr>
                <w:color w:val="000000"/>
              </w:rPr>
              <w:t>13,150.42</w:t>
            </w:r>
          </w:p>
        </w:tc>
        <w:tc>
          <w:tcPr>
            <w:tcW w:w="871" w:type="pct"/>
            <w:shd w:val="clear" w:color="auto" w:fill="auto"/>
            <w:vAlign w:val="center"/>
          </w:tcPr>
          <w:p w:rsidR="007B172B" w:rsidRPr="0033036C" w:rsidRDefault="0033036C" w:rsidP="0033036C">
            <w:pPr>
              <w:spacing w:after="0" w:line="240" w:lineRule="auto"/>
              <w:jc w:val="center"/>
              <w:rPr>
                <w:rFonts w:ascii="Times New Roman" w:eastAsia="Times New Roman" w:hAnsi="Times New Roman"/>
                <w:color w:val="000000"/>
              </w:rPr>
            </w:pPr>
            <w:r>
              <w:rPr>
                <w:color w:val="000000"/>
              </w:rPr>
              <w:t xml:space="preserve">   </w:t>
            </w:r>
            <w:r w:rsidR="009056AB" w:rsidRPr="0033036C">
              <w:rPr>
                <w:color w:val="000000"/>
              </w:rPr>
              <w:t>10,095.98</w:t>
            </w:r>
          </w:p>
        </w:tc>
        <w:tc>
          <w:tcPr>
            <w:tcW w:w="1052" w:type="pct"/>
            <w:shd w:val="clear" w:color="auto" w:fill="auto"/>
            <w:vAlign w:val="center"/>
          </w:tcPr>
          <w:p w:rsidR="009056AB" w:rsidRPr="0033036C" w:rsidRDefault="007B172B" w:rsidP="007B172B">
            <w:pPr>
              <w:spacing w:after="0" w:line="240" w:lineRule="auto"/>
              <w:jc w:val="center"/>
              <w:rPr>
                <w:rFonts w:ascii="Arial" w:hAnsi="Arial" w:cs="Arial"/>
                <w:b/>
                <w:bCs/>
                <w:sz w:val="20"/>
                <w:szCs w:val="20"/>
              </w:rPr>
            </w:pPr>
            <w:r w:rsidRPr="0033036C">
              <w:rPr>
                <w:rFonts w:ascii="Arial" w:hAnsi="Arial" w:cs="Arial"/>
                <w:b/>
                <w:bCs/>
                <w:sz w:val="20"/>
                <w:szCs w:val="20"/>
              </w:rPr>
              <w:t xml:space="preserve">                            </w:t>
            </w:r>
          </w:p>
          <w:p w:rsidR="009056AB" w:rsidRPr="0033036C" w:rsidRDefault="0033036C" w:rsidP="0033036C">
            <w:pPr>
              <w:spacing w:after="0" w:line="240" w:lineRule="auto"/>
              <w:rPr>
                <w:rFonts w:ascii="Times New Roman" w:eastAsia="Times New Roman" w:hAnsi="Times New Roman"/>
                <w:color w:val="000000"/>
              </w:rPr>
            </w:pPr>
            <w:r>
              <w:rPr>
                <w:color w:val="000000"/>
              </w:rPr>
              <w:t xml:space="preserve">        </w:t>
            </w:r>
            <w:r w:rsidR="009056AB" w:rsidRPr="0033036C">
              <w:rPr>
                <w:color w:val="000000"/>
              </w:rPr>
              <w:t>10,415.52</w:t>
            </w:r>
          </w:p>
          <w:p w:rsidR="007B172B" w:rsidRPr="0033036C" w:rsidRDefault="007B172B" w:rsidP="0033036C">
            <w:pPr>
              <w:tabs>
                <w:tab w:val="left" w:pos="540"/>
              </w:tabs>
              <w:spacing w:before="120" w:after="0" w:line="240" w:lineRule="auto"/>
              <w:rPr>
                <w:rFonts w:ascii="Arial" w:eastAsia="Times New Roman" w:hAnsi="Arial" w:cs="Arial"/>
                <w:sz w:val="20"/>
                <w:szCs w:val="26"/>
                <w:lang w:val="nl-NL"/>
              </w:rPr>
            </w:pPr>
          </w:p>
        </w:tc>
      </w:tr>
      <w:tr w:rsidR="007B172B" w:rsidRPr="0033036C" w:rsidTr="0033036C">
        <w:tc>
          <w:tcPr>
            <w:tcW w:w="1894" w:type="pct"/>
            <w:shd w:val="clear" w:color="auto" w:fill="auto"/>
            <w:vAlign w:val="center"/>
          </w:tcPr>
          <w:p w:rsidR="007B172B" w:rsidRPr="0033036C" w:rsidRDefault="007B172B" w:rsidP="007B172B">
            <w:pPr>
              <w:tabs>
                <w:tab w:val="left" w:pos="540"/>
              </w:tabs>
              <w:spacing w:before="120" w:after="0" w:line="240" w:lineRule="auto"/>
              <w:rPr>
                <w:rFonts w:ascii="Arial" w:eastAsia="Times New Roman" w:hAnsi="Arial" w:cs="Arial"/>
                <w:sz w:val="20"/>
                <w:szCs w:val="26"/>
                <w:lang w:val="nl-NL"/>
              </w:rPr>
            </w:pPr>
            <w:r w:rsidRPr="0033036C">
              <w:rPr>
                <w:rFonts w:ascii="Arial" w:eastAsia="Times New Roman" w:hAnsi="Arial" w:cs="Arial"/>
                <w:sz w:val="20"/>
                <w:szCs w:val="26"/>
                <w:lang w:val="nl-NL"/>
              </w:rPr>
              <w:t>2.4.Giá trị tài sản ròng cao nhất của 1 đơn vị CCQ trong kỳ báo cáo</w:t>
            </w:r>
          </w:p>
        </w:tc>
        <w:tc>
          <w:tcPr>
            <w:tcW w:w="1183" w:type="pct"/>
            <w:shd w:val="clear" w:color="auto" w:fill="auto"/>
            <w:vAlign w:val="center"/>
          </w:tcPr>
          <w:p w:rsidR="009056AB" w:rsidRPr="0033036C" w:rsidRDefault="009056AB" w:rsidP="0033036C">
            <w:pPr>
              <w:spacing w:after="0" w:line="240" w:lineRule="auto"/>
              <w:jc w:val="center"/>
              <w:rPr>
                <w:rFonts w:ascii="Times New Roman" w:eastAsia="Times New Roman" w:hAnsi="Times New Roman"/>
                <w:color w:val="000000"/>
              </w:rPr>
            </w:pPr>
            <w:r w:rsidRPr="0033036C">
              <w:rPr>
                <w:color w:val="000000"/>
              </w:rPr>
              <w:t>13,226.44</w:t>
            </w:r>
          </w:p>
          <w:p w:rsidR="007B172B" w:rsidRPr="0033036C" w:rsidRDefault="007B172B" w:rsidP="0033036C">
            <w:pPr>
              <w:spacing w:before="120" w:after="0" w:line="240" w:lineRule="auto"/>
              <w:ind w:right="90"/>
              <w:jc w:val="center"/>
              <w:rPr>
                <w:rFonts w:ascii="Times New Roman" w:eastAsia="Times New Roman" w:hAnsi="Times New Roman"/>
                <w:lang w:val="nl-NL"/>
              </w:rPr>
            </w:pPr>
          </w:p>
        </w:tc>
        <w:tc>
          <w:tcPr>
            <w:tcW w:w="871" w:type="pct"/>
            <w:shd w:val="clear" w:color="auto" w:fill="auto"/>
            <w:vAlign w:val="center"/>
          </w:tcPr>
          <w:p w:rsidR="009056AB" w:rsidRPr="0033036C" w:rsidRDefault="009056AB" w:rsidP="0033036C">
            <w:pPr>
              <w:spacing w:after="0" w:line="240" w:lineRule="auto"/>
              <w:jc w:val="center"/>
              <w:rPr>
                <w:rFonts w:ascii="Times New Roman" w:eastAsia="Times New Roman" w:hAnsi="Times New Roman"/>
                <w:color w:val="000000"/>
              </w:rPr>
            </w:pPr>
            <w:r w:rsidRPr="0033036C">
              <w:rPr>
                <w:color w:val="000000"/>
              </w:rPr>
              <w:t>10,752.37</w:t>
            </w:r>
          </w:p>
          <w:p w:rsidR="007B172B" w:rsidRPr="0033036C" w:rsidRDefault="007B172B" w:rsidP="0033036C">
            <w:pPr>
              <w:spacing w:before="120" w:after="0" w:line="240" w:lineRule="auto"/>
              <w:ind w:right="90"/>
              <w:jc w:val="center"/>
              <w:rPr>
                <w:rFonts w:ascii="Times New Roman" w:eastAsia="Times New Roman" w:hAnsi="Times New Roman"/>
                <w:lang w:val="nl-NL"/>
              </w:rPr>
            </w:pPr>
          </w:p>
        </w:tc>
        <w:tc>
          <w:tcPr>
            <w:tcW w:w="1052" w:type="pct"/>
            <w:shd w:val="clear" w:color="auto" w:fill="auto"/>
            <w:vAlign w:val="center"/>
          </w:tcPr>
          <w:p w:rsidR="009056AB" w:rsidRPr="0033036C" w:rsidRDefault="009056AB" w:rsidP="0033036C">
            <w:pPr>
              <w:spacing w:after="0" w:line="240" w:lineRule="auto"/>
              <w:jc w:val="center"/>
              <w:rPr>
                <w:rFonts w:ascii="Arial" w:hAnsi="Arial" w:cs="Arial"/>
                <w:sz w:val="20"/>
                <w:szCs w:val="20"/>
              </w:rPr>
            </w:pPr>
          </w:p>
          <w:p w:rsidR="009056AB" w:rsidRPr="0033036C" w:rsidRDefault="009056AB" w:rsidP="0033036C">
            <w:pPr>
              <w:spacing w:after="0" w:line="240" w:lineRule="auto"/>
              <w:jc w:val="center"/>
              <w:rPr>
                <w:rFonts w:ascii="Times New Roman" w:eastAsia="Times New Roman" w:hAnsi="Times New Roman"/>
                <w:color w:val="000000"/>
              </w:rPr>
            </w:pPr>
            <w:r w:rsidRPr="0033036C">
              <w:rPr>
                <w:color w:val="000000"/>
              </w:rPr>
              <w:t>10,901.63</w:t>
            </w:r>
          </w:p>
          <w:p w:rsidR="007B172B" w:rsidRPr="0033036C" w:rsidRDefault="007B172B" w:rsidP="0033036C">
            <w:pPr>
              <w:tabs>
                <w:tab w:val="left" w:pos="540"/>
              </w:tabs>
              <w:spacing w:before="120" w:after="0" w:line="240" w:lineRule="auto"/>
              <w:jc w:val="center"/>
              <w:rPr>
                <w:rFonts w:ascii="Arial" w:eastAsia="Times New Roman" w:hAnsi="Arial" w:cs="Arial"/>
                <w:sz w:val="20"/>
                <w:szCs w:val="26"/>
                <w:lang w:val="nl-NL"/>
              </w:rPr>
            </w:pPr>
          </w:p>
        </w:tc>
      </w:tr>
      <w:tr w:rsidR="007B172B" w:rsidRPr="0033036C" w:rsidTr="0033036C">
        <w:tc>
          <w:tcPr>
            <w:tcW w:w="1894" w:type="pct"/>
            <w:shd w:val="clear" w:color="auto" w:fill="auto"/>
            <w:vAlign w:val="center"/>
          </w:tcPr>
          <w:p w:rsidR="007B172B" w:rsidRPr="0033036C" w:rsidRDefault="007B172B" w:rsidP="007B172B">
            <w:pPr>
              <w:tabs>
                <w:tab w:val="left" w:pos="540"/>
              </w:tabs>
              <w:spacing w:before="120" w:after="0" w:line="240" w:lineRule="auto"/>
              <w:rPr>
                <w:rFonts w:ascii="Arial" w:eastAsia="Times New Roman" w:hAnsi="Arial" w:cs="Arial"/>
                <w:sz w:val="20"/>
                <w:szCs w:val="26"/>
                <w:lang w:val="nl-NL"/>
              </w:rPr>
            </w:pPr>
            <w:r w:rsidRPr="0033036C">
              <w:rPr>
                <w:rFonts w:ascii="Arial" w:eastAsia="Times New Roman" w:hAnsi="Arial" w:cs="Arial"/>
                <w:sz w:val="20"/>
                <w:szCs w:val="26"/>
                <w:lang w:val="nl-NL"/>
              </w:rPr>
              <w:t>2.5.Giá trị tài sản ròng thấp nhất của 1 đơn vị CCQ trong kỳ báo cáo</w:t>
            </w:r>
          </w:p>
        </w:tc>
        <w:tc>
          <w:tcPr>
            <w:tcW w:w="1183" w:type="pct"/>
            <w:shd w:val="clear" w:color="auto" w:fill="auto"/>
            <w:vAlign w:val="center"/>
          </w:tcPr>
          <w:p w:rsidR="0033036C" w:rsidRDefault="0033036C" w:rsidP="0033036C">
            <w:pPr>
              <w:spacing w:after="0" w:line="240" w:lineRule="auto"/>
              <w:jc w:val="center"/>
              <w:rPr>
                <w:color w:val="000000"/>
              </w:rPr>
            </w:pPr>
          </w:p>
          <w:p w:rsidR="009056AB" w:rsidRPr="0033036C" w:rsidRDefault="009056AB" w:rsidP="0033036C">
            <w:pPr>
              <w:spacing w:after="0" w:line="240" w:lineRule="auto"/>
              <w:jc w:val="center"/>
              <w:rPr>
                <w:rFonts w:ascii="Times New Roman" w:eastAsia="Times New Roman" w:hAnsi="Times New Roman"/>
                <w:color w:val="000000"/>
              </w:rPr>
            </w:pPr>
            <w:r w:rsidRPr="0033036C">
              <w:rPr>
                <w:color w:val="000000"/>
              </w:rPr>
              <w:t>10,015.55</w:t>
            </w:r>
          </w:p>
          <w:p w:rsidR="007B172B" w:rsidRPr="0033036C" w:rsidRDefault="007B172B" w:rsidP="007B172B">
            <w:pPr>
              <w:spacing w:before="120" w:after="0" w:line="240" w:lineRule="auto"/>
              <w:ind w:right="90"/>
              <w:jc w:val="right"/>
              <w:rPr>
                <w:rFonts w:ascii="Times New Roman" w:eastAsia="Times New Roman" w:hAnsi="Times New Roman"/>
                <w:lang w:val="nl-NL"/>
              </w:rPr>
            </w:pPr>
          </w:p>
        </w:tc>
        <w:tc>
          <w:tcPr>
            <w:tcW w:w="871" w:type="pct"/>
            <w:shd w:val="clear" w:color="auto" w:fill="auto"/>
            <w:vAlign w:val="center"/>
          </w:tcPr>
          <w:p w:rsidR="007B172B" w:rsidRPr="0033036C" w:rsidRDefault="0033036C" w:rsidP="0033036C">
            <w:pPr>
              <w:spacing w:before="120" w:after="0" w:line="240" w:lineRule="auto"/>
              <w:ind w:right="90"/>
              <w:rPr>
                <w:rFonts w:ascii="Times New Roman" w:eastAsia="Times New Roman" w:hAnsi="Times New Roman"/>
                <w:lang w:val="nl-NL"/>
              </w:rPr>
            </w:pPr>
            <w:r>
              <w:rPr>
                <w:rFonts w:ascii="Times New Roman" w:eastAsia="Times New Roman" w:hAnsi="Times New Roman"/>
                <w:lang w:val="nl-NL"/>
              </w:rPr>
              <w:t xml:space="preserve">         </w:t>
            </w:r>
            <w:r w:rsidR="007B172B" w:rsidRPr="0033036C">
              <w:rPr>
                <w:rFonts w:ascii="Times New Roman" w:eastAsia="Times New Roman" w:hAnsi="Times New Roman"/>
                <w:lang w:val="nl-NL"/>
              </w:rPr>
              <w:t>8.737,36</w:t>
            </w:r>
          </w:p>
        </w:tc>
        <w:tc>
          <w:tcPr>
            <w:tcW w:w="1052" w:type="pct"/>
            <w:shd w:val="clear" w:color="auto" w:fill="auto"/>
            <w:vAlign w:val="center"/>
          </w:tcPr>
          <w:p w:rsidR="0033036C" w:rsidRPr="0033036C" w:rsidRDefault="007B172B" w:rsidP="0033036C">
            <w:pPr>
              <w:spacing w:before="120" w:after="0" w:line="240" w:lineRule="auto"/>
              <w:ind w:right="90"/>
              <w:jc w:val="center"/>
              <w:rPr>
                <w:rFonts w:ascii="Times New Roman" w:eastAsia="Times New Roman" w:hAnsi="Times New Roman"/>
                <w:lang w:val="nl-NL"/>
              </w:rPr>
            </w:pPr>
            <w:r w:rsidRPr="0033036C">
              <w:rPr>
                <w:rFonts w:ascii="Times New Roman" w:eastAsia="Times New Roman" w:hAnsi="Times New Roman"/>
                <w:lang w:val="nl-NL"/>
              </w:rPr>
              <w:t>8,447.48</w:t>
            </w:r>
          </w:p>
        </w:tc>
      </w:tr>
      <w:tr w:rsidR="007B172B" w:rsidRPr="0033036C" w:rsidTr="0033036C">
        <w:tc>
          <w:tcPr>
            <w:tcW w:w="1894" w:type="pct"/>
            <w:shd w:val="clear" w:color="auto" w:fill="auto"/>
            <w:vAlign w:val="center"/>
          </w:tcPr>
          <w:p w:rsidR="007B172B" w:rsidRPr="0033036C" w:rsidRDefault="007B172B" w:rsidP="007B172B">
            <w:pPr>
              <w:tabs>
                <w:tab w:val="left" w:pos="540"/>
              </w:tabs>
              <w:spacing w:before="120" w:after="0" w:line="240" w:lineRule="auto"/>
              <w:rPr>
                <w:rFonts w:ascii="Arial" w:eastAsia="Times New Roman" w:hAnsi="Arial" w:cs="Arial"/>
                <w:sz w:val="20"/>
                <w:szCs w:val="26"/>
                <w:lang w:val="nl-NL"/>
              </w:rPr>
            </w:pPr>
            <w:r w:rsidRPr="0033036C">
              <w:rPr>
                <w:rFonts w:ascii="Arial" w:eastAsia="Times New Roman" w:hAnsi="Arial" w:cs="Arial"/>
                <w:sz w:val="20"/>
                <w:szCs w:val="26"/>
                <w:lang w:val="nl-NL"/>
              </w:rPr>
              <w:t>2.6.Giá cuối ngày của 1 đơn vị CCQ tại ngày báo cáo</w:t>
            </w:r>
          </w:p>
        </w:tc>
        <w:tc>
          <w:tcPr>
            <w:tcW w:w="1183" w:type="pct"/>
            <w:shd w:val="clear" w:color="auto" w:fill="auto"/>
            <w:vAlign w:val="center"/>
          </w:tcPr>
          <w:p w:rsidR="007B172B" w:rsidRPr="0033036C" w:rsidRDefault="007B172B" w:rsidP="007B172B">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N/A</w:t>
            </w:r>
          </w:p>
          <w:p w:rsidR="007B172B" w:rsidRPr="0033036C" w:rsidRDefault="007B172B" w:rsidP="007B172B">
            <w:pPr>
              <w:tabs>
                <w:tab w:val="left" w:pos="540"/>
              </w:tabs>
              <w:spacing w:before="120" w:after="0" w:line="240" w:lineRule="auto"/>
              <w:jc w:val="center"/>
              <w:rPr>
                <w:rFonts w:ascii="Arial" w:eastAsia="Times New Roman" w:hAnsi="Arial" w:cs="Arial"/>
                <w:sz w:val="20"/>
                <w:szCs w:val="26"/>
                <w:lang w:val="nl-NL"/>
              </w:rPr>
            </w:pPr>
          </w:p>
        </w:tc>
        <w:tc>
          <w:tcPr>
            <w:tcW w:w="871" w:type="pct"/>
            <w:shd w:val="clear" w:color="auto" w:fill="auto"/>
            <w:vAlign w:val="center"/>
          </w:tcPr>
          <w:p w:rsidR="007B172B" w:rsidRPr="0033036C" w:rsidRDefault="007B172B" w:rsidP="007B172B">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N/A</w:t>
            </w:r>
          </w:p>
          <w:p w:rsidR="007B172B" w:rsidRPr="0033036C" w:rsidRDefault="007B172B" w:rsidP="007B172B">
            <w:pPr>
              <w:tabs>
                <w:tab w:val="left" w:pos="540"/>
              </w:tabs>
              <w:spacing w:before="120" w:after="0" w:line="240" w:lineRule="auto"/>
              <w:jc w:val="center"/>
              <w:rPr>
                <w:rFonts w:ascii="Arial" w:eastAsia="Times New Roman" w:hAnsi="Arial" w:cs="Arial"/>
                <w:sz w:val="20"/>
                <w:szCs w:val="26"/>
                <w:lang w:val="nl-NL"/>
              </w:rPr>
            </w:pPr>
          </w:p>
        </w:tc>
        <w:tc>
          <w:tcPr>
            <w:tcW w:w="1052" w:type="pct"/>
            <w:shd w:val="clear" w:color="auto" w:fill="auto"/>
            <w:vAlign w:val="center"/>
          </w:tcPr>
          <w:p w:rsidR="007B172B" w:rsidRPr="0033036C" w:rsidRDefault="007B172B" w:rsidP="007B172B">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N/A</w:t>
            </w:r>
          </w:p>
          <w:p w:rsidR="007B172B" w:rsidRPr="0033036C" w:rsidRDefault="007B172B" w:rsidP="007B172B">
            <w:pPr>
              <w:tabs>
                <w:tab w:val="left" w:pos="540"/>
              </w:tabs>
              <w:spacing w:before="120" w:after="0" w:line="240" w:lineRule="auto"/>
              <w:jc w:val="center"/>
              <w:rPr>
                <w:rFonts w:ascii="Arial" w:eastAsia="Times New Roman" w:hAnsi="Arial" w:cs="Arial"/>
                <w:sz w:val="20"/>
                <w:szCs w:val="26"/>
                <w:lang w:val="nl-NL"/>
              </w:rPr>
            </w:pPr>
          </w:p>
        </w:tc>
      </w:tr>
      <w:tr w:rsidR="007B172B" w:rsidRPr="0033036C" w:rsidTr="0033036C">
        <w:tc>
          <w:tcPr>
            <w:tcW w:w="1894" w:type="pct"/>
            <w:shd w:val="clear" w:color="auto" w:fill="auto"/>
            <w:vAlign w:val="center"/>
          </w:tcPr>
          <w:p w:rsidR="007B172B" w:rsidRPr="0033036C" w:rsidRDefault="007B172B" w:rsidP="007B172B">
            <w:pPr>
              <w:tabs>
                <w:tab w:val="left" w:pos="540"/>
              </w:tabs>
              <w:spacing w:before="120" w:after="0" w:line="240" w:lineRule="auto"/>
              <w:rPr>
                <w:rFonts w:ascii="Arial" w:eastAsia="Times New Roman" w:hAnsi="Arial" w:cs="Arial"/>
                <w:sz w:val="20"/>
                <w:szCs w:val="26"/>
                <w:lang w:val="nl-NL"/>
              </w:rPr>
            </w:pPr>
            <w:r w:rsidRPr="0033036C">
              <w:rPr>
                <w:rFonts w:ascii="Arial" w:eastAsia="Times New Roman" w:hAnsi="Arial" w:cs="Arial"/>
                <w:sz w:val="20"/>
                <w:szCs w:val="26"/>
                <w:lang w:val="nl-NL"/>
              </w:rPr>
              <w:t>2.7.Giá cuối ngày cao nhất của 1 đơn vị CCQ trong kỳ báo cáo</w:t>
            </w:r>
          </w:p>
        </w:tc>
        <w:tc>
          <w:tcPr>
            <w:tcW w:w="1183" w:type="pct"/>
            <w:shd w:val="clear" w:color="auto" w:fill="auto"/>
            <w:vAlign w:val="center"/>
          </w:tcPr>
          <w:p w:rsidR="007B172B" w:rsidRPr="0033036C" w:rsidRDefault="007B172B" w:rsidP="007B172B">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N/A</w:t>
            </w:r>
          </w:p>
          <w:p w:rsidR="007B172B" w:rsidRPr="0033036C" w:rsidRDefault="007B172B" w:rsidP="007B172B">
            <w:pPr>
              <w:tabs>
                <w:tab w:val="left" w:pos="540"/>
              </w:tabs>
              <w:spacing w:before="120" w:after="0" w:line="240" w:lineRule="auto"/>
              <w:jc w:val="center"/>
              <w:rPr>
                <w:rFonts w:ascii="Arial" w:eastAsia="Times New Roman" w:hAnsi="Arial" w:cs="Arial"/>
                <w:sz w:val="20"/>
                <w:szCs w:val="26"/>
                <w:lang w:val="nl-NL"/>
              </w:rPr>
            </w:pPr>
          </w:p>
        </w:tc>
        <w:tc>
          <w:tcPr>
            <w:tcW w:w="871" w:type="pct"/>
            <w:shd w:val="clear" w:color="auto" w:fill="auto"/>
            <w:vAlign w:val="center"/>
          </w:tcPr>
          <w:p w:rsidR="007B172B" w:rsidRPr="0033036C" w:rsidRDefault="007B172B" w:rsidP="007B172B">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N/A</w:t>
            </w:r>
          </w:p>
          <w:p w:rsidR="007B172B" w:rsidRPr="0033036C" w:rsidRDefault="007B172B" w:rsidP="007B172B">
            <w:pPr>
              <w:tabs>
                <w:tab w:val="left" w:pos="540"/>
              </w:tabs>
              <w:spacing w:before="120" w:after="0" w:line="240" w:lineRule="auto"/>
              <w:jc w:val="center"/>
              <w:rPr>
                <w:rFonts w:ascii="Arial" w:eastAsia="Times New Roman" w:hAnsi="Arial" w:cs="Arial"/>
                <w:sz w:val="20"/>
                <w:szCs w:val="26"/>
                <w:lang w:val="nl-NL"/>
              </w:rPr>
            </w:pPr>
          </w:p>
        </w:tc>
        <w:tc>
          <w:tcPr>
            <w:tcW w:w="1052" w:type="pct"/>
            <w:shd w:val="clear" w:color="auto" w:fill="auto"/>
            <w:vAlign w:val="center"/>
          </w:tcPr>
          <w:p w:rsidR="007B172B" w:rsidRPr="0033036C" w:rsidRDefault="007B172B" w:rsidP="007B172B">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N/A</w:t>
            </w:r>
          </w:p>
          <w:p w:rsidR="007B172B" w:rsidRPr="0033036C" w:rsidRDefault="007B172B" w:rsidP="007B172B">
            <w:pPr>
              <w:tabs>
                <w:tab w:val="left" w:pos="540"/>
              </w:tabs>
              <w:spacing w:before="120" w:after="0" w:line="240" w:lineRule="auto"/>
              <w:jc w:val="center"/>
              <w:rPr>
                <w:rFonts w:ascii="Arial" w:eastAsia="Times New Roman" w:hAnsi="Arial" w:cs="Arial"/>
                <w:sz w:val="20"/>
                <w:szCs w:val="26"/>
                <w:lang w:val="nl-NL"/>
              </w:rPr>
            </w:pPr>
          </w:p>
        </w:tc>
      </w:tr>
      <w:tr w:rsidR="007B172B" w:rsidRPr="0033036C" w:rsidTr="0033036C">
        <w:tc>
          <w:tcPr>
            <w:tcW w:w="1894" w:type="pct"/>
            <w:shd w:val="clear" w:color="auto" w:fill="auto"/>
            <w:vAlign w:val="center"/>
          </w:tcPr>
          <w:p w:rsidR="007B172B" w:rsidRPr="0033036C" w:rsidRDefault="007B172B" w:rsidP="007B172B">
            <w:pPr>
              <w:tabs>
                <w:tab w:val="left" w:pos="540"/>
              </w:tabs>
              <w:spacing w:before="120" w:after="0" w:line="240" w:lineRule="auto"/>
              <w:rPr>
                <w:rFonts w:ascii="Arial" w:eastAsia="Times New Roman" w:hAnsi="Arial" w:cs="Arial"/>
                <w:sz w:val="20"/>
                <w:szCs w:val="26"/>
                <w:lang w:val="nl-NL"/>
              </w:rPr>
            </w:pPr>
            <w:r w:rsidRPr="0033036C">
              <w:rPr>
                <w:rFonts w:ascii="Arial" w:eastAsia="Times New Roman" w:hAnsi="Arial" w:cs="Arial"/>
                <w:sz w:val="20"/>
                <w:szCs w:val="26"/>
                <w:lang w:val="nl-NL"/>
              </w:rPr>
              <w:t>2.8.Giá cuối ngày thấp nhất của 1 đơn vị CCQ trong kỳ báo cáo</w:t>
            </w:r>
          </w:p>
        </w:tc>
        <w:tc>
          <w:tcPr>
            <w:tcW w:w="1183" w:type="pct"/>
            <w:shd w:val="clear" w:color="auto" w:fill="auto"/>
            <w:vAlign w:val="center"/>
          </w:tcPr>
          <w:p w:rsidR="007B172B" w:rsidRPr="0033036C" w:rsidRDefault="007B172B" w:rsidP="007B172B">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N/A</w:t>
            </w:r>
          </w:p>
          <w:p w:rsidR="007B172B" w:rsidRPr="0033036C" w:rsidRDefault="007B172B" w:rsidP="007B172B">
            <w:pPr>
              <w:tabs>
                <w:tab w:val="left" w:pos="540"/>
              </w:tabs>
              <w:spacing w:before="120" w:after="0" w:line="240" w:lineRule="auto"/>
              <w:jc w:val="center"/>
              <w:rPr>
                <w:rFonts w:ascii="Arial" w:eastAsia="Times New Roman" w:hAnsi="Arial" w:cs="Arial"/>
                <w:sz w:val="20"/>
                <w:szCs w:val="26"/>
                <w:lang w:val="nl-NL"/>
              </w:rPr>
            </w:pPr>
          </w:p>
        </w:tc>
        <w:tc>
          <w:tcPr>
            <w:tcW w:w="871" w:type="pct"/>
            <w:shd w:val="clear" w:color="auto" w:fill="auto"/>
            <w:vAlign w:val="center"/>
          </w:tcPr>
          <w:p w:rsidR="007B172B" w:rsidRPr="0033036C" w:rsidRDefault="007B172B" w:rsidP="007B172B">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N/A</w:t>
            </w:r>
          </w:p>
          <w:p w:rsidR="007B172B" w:rsidRPr="0033036C" w:rsidRDefault="007B172B" w:rsidP="007B172B">
            <w:pPr>
              <w:tabs>
                <w:tab w:val="left" w:pos="540"/>
              </w:tabs>
              <w:spacing w:before="120" w:after="0" w:line="240" w:lineRule="auto"/>
              <w:jc w:val="center"/>
              <w:rPr>
                <w:rFonts w:ascii="Arial" w:eastAsia="Times New Roman" w:hAnsi="Arial" w:cs="Arial"/>
                <w:sz w:val="20"/>
                <w:szCs w:val="26"/>
                <w:lang w:val="nl-NL"/>
              </w:rPr>
            </w:pPr>
          </w:p>
        </w:tc>
        <w:tc>
          <w:tcPr>
            <w:tcW w:w="1052" w:type="pct"/>
            <w:shd w:val="clear" w:color="auto" w:fill="auto"/>
            <w:vAlign w:val="center"/>
          </w:tcPr>
          <w:p w:rsidR="007B172B" w:rsidRPr="0033036C" w:rsidRDefault="007B172B" w:rsidP="007B172B">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N/A</w:t>
            </w:r>
          </w:p>
          <w:p w:rsidR="007B172B" w:rsidRPr="0033036C" w:rsidRDefault="007B172B" w:rsidP="007B172B">
            <w:pPr>
              <w:tabs>
                <w:tab w:val="left" w:pos="540"/>
              </w:tabs>
              <w:spacing w:before="120" w:after="0" w:line="240" w:lineRule="auto"/>
              <w:jc w:val="center"/>
              <w:rPr>
                <w:rFonts w:ascii="Arial" w:eastAsia="Times New Roman" w:hAnsi="Arial" w:cs="Arial"/>
                <w:sz w:val="20"/>
                <w:szCs w:val="26"/>
                <w:lang w:val="nl-NL"/>
              </w:rPr>
            </w:pPr>
          </w:p>
        </w:tc>
      </w:tr>
      <w:tr w:rsidR="00A447F1" w:rsidRPr="0033036C" w:rsidTr="0033036C">
        <w:tc>
          <w:tcPr>
            <w:tcW w:w="1894" w:type="pct"/>
            <w:shd w:val="clear" w:color="auto" w:fill="auto"/>
            <w:vAlign w:val="center"/>
          </w:tcPr>
          <w:p w:rsidR="00A447F1" w:rsidRPr="0033036C" w:rsidRDefault="00A447F1" w:rsidP="00A447F1">
            <w:pPr>
              <w:tabs>
                <w:tab w:val="left" w:pos="540"/>
              </w:tabs>
              <w:spacing w:before="120" w:after="0" w:line="240" w:lineRule="auto"/>
              <w:rPr>
                <w:rFonts w:ascii="Arial" w:eastAsia="Times New Roman" w:hAnsi="Arial" w:cs="Arial"/>
                <w:sz w:val="20"/>
                <w:szCs w:val="26"/>
                <w:lang w:val="nl-NL"/>
              </w:rPr>
            </w:pPr>
            <w:r w:rsidRPr="0033036C">
              <w:rPr>
                <w:rFonts w:ascii="Arial" w:eastAsia="Times New Roman" w:hAnsi="Arial" w:cs="Arial"/>
                <w:sz w:val="20"/>
                <w:szCs w:val="26"/>
                <w:lang w:val="nl-NL"/>
              </w:rPr>
              <w:t>2.9.Tổng tăng trưởng (%)/1 đơn vị CCQ</w:t>
            </w:r>
          </w:p>
        </w:tc>
        <w:tc>
          <w:tcPr>
            <w:tcW w:w="1183" w:type="pct"/>
            <w:shd w:val="clear" w:color="auto" w:fill="auto"/>
            <w:vAlign w:val="center"/>
          </w:tcPr>
          <w:p w:rsidR="00A447F1" w:rsidRPr="0033036C" w:rsidRDefault="009056AB" w:rsidP="0033036C">
            <w:pPr>
              <w:spacing w:after="0" w:line="240" w:lineRule="auto"/>
              <w:jc w:val="center"/>
              <w:rPr>
                <w:rFonts w:ascii="Times New Roman" w:eastAsia="Times New Roman" w:hAnsi="Times New Roman"/>
                <w:color w:val="000000"/>
              </w:rPr>
            </w:pPr>
            <w:r w:rsidRPr="0033036C">
              <w:rPr>
                <w:color w:val="000000"/>
              </w:rPr>
              <w:t>12887.31%</w:t>
            </w:r>
          </w:p>
        </w:tc>
        <w:tc>
          <w:tcPr>
            <w:tcW w:w="871" w:type="pct"/>
            <w:shd w:val="clear" w:color="auto" w:fill="auto"/>
            <w:vAlign w:val="center"/>
          </w:tcPr>
          <w:p w:rsidR="00A447F1" w:rsidRPr="0033036C" w:rsidRDefault="009056AB" w:rsidP="0033036C">
            <w:pPr>
              <w:spacing w:after="0" w:line="240" w:lineRule="auto"/>
              <w:jc w:val="center"/>
              <w:rPr>
                <w:rFonts w:ascii="Times New Roman" w:eastAsia="Times New Roman" w:hAnsi="Times New Roman"/>
                <w:color w:val="000000"/>
              </w:rPr>
            </w:pPr>
            <w:r w:rsidRPr="0033036C">
              <w:rPr>
                <w:color w:val="000000"/>
              </w:rPr>
              <w:t>-138.69%</w:t>
            </w:r>
          </w:p>
        </w:tc>
        <w:tc>
          <w:tcPr>
            <w:tcW w:w="1052" w:type="pct"/>
            <w:shd w:val="clear" w:color="auto" w:fill="auto"/>
            <w:vAlign w:val="center"/>
          </w:tcPr>
          <w:p w:rsidR="00A447F1" w:rsidRPr="0033036C" w:rsidRDefault="009056AB" w:rsidP="0033036C">
            <w:pPr>
              <w:spacing w:after="0" w:line="240" w:lineRule="auto"/>
              <w:jc w:val="center"/>
              <w:rPr>
                <w:rFonts w:ascii="Times New Roman" w:eastAsia="Times New Roman" w:hAnsi="Times New Roman"/>
                <w:color w:val="000000"/>
              </w:rPr>
            </w:pPr>
            <w:r w:rsidRPr="0033036C">
              <w:rPr>
                <w:color w:val="000000"/>
              </w:rPr>
              <w:t>-1164.74%</w:t>
            </w:r>
          </w:p>
        </w:tc>
      </w:tr>
      <w:tr w:rsidR="00A447F1" w:rsidRPr="0033036C" w:rsidTr="0033036C">
        <w:tc>
          <w:tcPr>
            <w:tcW w:w="1894" w:type="pct"/>
            <w:shd w:val="clear" w:color="auto" w:fill="auto"/>
            <w:vAlign w:val="center"/>
          </w:tcPr>
          <w:p w:rsidR="00A447F1" w:rsidRPr="0033036C" w:rsidRDefault="00A447F1" w:rsidP="00A447F1">
            <w:pPr>
              <w:tabs>
                <w:tab w:val="left" w:pos="540"/>
              </w:tabs>
              <w:spacing w:before="120" w:after="0" w:line="240" w:lineRule="auto"/>
              <w:rPr>
                <w:rFonts w:ascii="Arial" w:eastAsia="Times New Roman" w:hAnsi="Arial" w:cs="Arial"/>
                <w:sz w:val="20"/>
                <w:szCs w:val="26"/>
                <w:lang w:val="nl-NL"/>
              </w:rPr>
            </w:pPr>
            <w:r w:rsidRPr="0033036C">
              <w:rPr>
                <w:rFonts w:ascii="Arial" w:eastAsia="Times New Roman" w:hAnsi="Arial" w:cs="Arial"/>
                <w:sz w:val="20"/>
                <w:szCs w:val="26"/>
                <w:lang w:val="nl-NL"/>
              </w:rPr>
              <w:t>2.9.1.Tăng trưởng vốn (%)/1 đơn vị CCQ (Thay đổi do biến động giá)</w:t>
            </w:r>
          </w:p>
        </w:tc>
        <w:tc>
          <w:tcPr>
            <w:tcW w:w="1183" w:type="pct"/>
            <w:shd w:val="clear" w:color="auto" w:fill="auto"/>
            <w:vAlign w:val="center"/>
          </w:tcPr>
          <w:p w:rsidR="009056AB" w:rsidRPr="0033036C" w:rsidRDefault="009056AB" w:rsidP="009056AB">
            <w:pPr>
              <w:spacing w:after="0" w:line="240" w:lineRule="auto"/>
              <w:jc w:val="center"/>
              <w:rPr>
                <w:rFonts w:ascii="Times New Roman" w:eastAsia="Times New Roman" w:hAnsi="Times New Roman"/>
                <w:color w:val="000000"/>
              </w:rPr>
            </w:pPr>
            <w:r w:rsidRPr="0033036C">
              <w:rPr>
                <w:color w:val="000000"/>
              </w:rPr>
              <w:t>12912.92%</w:t>
            </w:r>
          </w:p>
          <w:p w:rsidR="00A447F1" w:rsidRPr="0033036C" w:rsidRDefault="00A447F1" w:rsidP="00A447F1">
            <w:pPr>
              <w:spacing w:after="0" w:line="240" w:lineRule="auto"/>
              <w:jc w:val="center"/>
              <w:rPr>
                <w:rFonts w:eastAsia="Times New Roman"/>
                <w:color w:val="000000"/>
              </w:rPr>
            </w:pPr>
          </w:p>
        </w:tc>
        <w:tc>
          <w:tcPr>
            <w:tcW w:w="871" w:type="pct"/>
            <w:shd w:val="clear" w:color="auto" w:fill="auto"/>
            <w:vAlign w:val="center"/>
          </w:tcPr>
          <w:p w:rsidR="009056AB" w:rsidRPr="0033036C" w:rsidRDefault="009056AB" w:rsidP="0033036C">
            <w:pPr>
              <w:spacing w:after="0" w:line="240" w:lineRule="auto"/>
              <w:jc w:val="center"/>
              <w:rPr>
                <w:rFonts w:ascii="Times New Roman" w:eastAsia="Times New Roman" w:hAnsi="Times New Roman"/>
                <w:color w:val="000000"/>
              </w:rPr>
            </w:pPr>
            <w:r w:rsidRPr="0033036C">
              <w:rPr>
                <w:color w:val="000000"/>
              </w:rPr>
              <w:t>-99.15%</w:t>
            </w:r>
          </w:p>
          <w:p w:rsidR="00A447F1" w:rsidRPr="0033036C" w:rsidRDefault="00A447F1" w:rsidP="00A447F1">
            <w:pPr>
              <w:jc w:val="center"/>
              <w:rPr>
                <w:color w:val="000000"/>
              </w:rPr>
            </w:pPr>
          </w:p>
        </w:tc>
        <w:tc>
          <w:tcPr>
            <w:tcW w:w="1052" w:type="pct"/>
            <w:shd w:val="clear" w:color="auto" w:fill="auto"/>
            <w:vAlign w:val="center"/>
          </w:tcPr>
          <w:p w:rsidR="009056AB" w:rsidRPr="0033036C" w:rsidRDefault="009056AB" w:rsidP="009056AB">
            <w:pPr>
              <w:spacing w:after="0" w:line="240" w:lineRule="auto"/>
              <w:jc w:val="center"/>
              <w:rPr>
                <w:rFonts w:ascii="Times New Roman" w:eastAsia="Times New Roman" w:hAnsi="Times New Roman"/>
                <w:color w:val="000000"/>
              </w:rPr>
            </w:pPr>
            <w:r w:rsidRPr="0033036C">
              <w:rPr>
                <w:color w:val="000000"/>
              </w:rPr>
              <w:t>-38.90%</w:t>
            </w:r>
          </w:p>
          <w:p w:rsidR="00A447F1" w:rsidRPr="0033036C" w:rsidRDefault="00A447F1" w:rsidP="00A447F1">
            <w:pPr>
              <w:jc w:val="center"/>
              <w:rPr>
                <w:color w:val="000000"/>
              </w:rPr>
            </w:pPr>
          </w:p>
        </w:tc>
      </w:tr>
      <w:tr w:rsidR="00A447F1" w:rsidRPr="0033036C" w:rsidTr="0033036C">
        <w:tc>
          <w:tcPr>
            <w:tcW w:w="1894" w:type="pct"/>
            <w:shd w:val="clear" w:color="auto" w:fill="auto"/>
            <w:vAlign w:val="center"/>
          </w:tcPr>
          <w:p w:rsidR="00A447F1" w:rsidRPr="0033036C" w:rsidRDefault="00A447F1" w:rsidP="00A447F1">
            <w:pPr>
              <w:tabs>
                <w:tab w:val="left" w:pos="540"/>
              </w:tabs>
              <w:spacing w:before="120" w:after="0" w:line="240" w:lineRule="auto"/>
              <w:rPr>
                <w:rFonts w:ascii="Arial" w:eastAsia="Times New Roman" w:hAnsi="Arial" w:cs="Arial"/>
                <w:sz w:val="20"/>
                <w:szCs w:val="26"/>
                <w:lang w:val="nl-NL"/>
              </w:rPr>
            </w:pPr>
            <w:r w:rsidRPr="0033036C">
              <w:rPr>
                <w:rFonts w:ascii="Arial" w:eastAsia="Times New Roman" w:hAnsi="Arial" w:cs="Arial"/>
                <w:sz w:val="20"/>
                <w:szCs w:val="26"/>
                <w:lang w:val="nl-NL"/>
              </w:rPr>
              <w:t>2.9.2.Tăng trưởng thu nhập (%)/1 đơn vị CCQ (Tính trên thu nhập đã thực hiện)</w:t>
            </w:r>
          </w:p>
        </w:tc>
        <w:tc>
          <w:tcPr>
            <w:tcW w:w="1183" w:type="pct"/>
            <w:shd w:val="clear" w:color="auto" w:fill="auto"/>
            <w:vAlign w:val="center"/>
          </w:tcPr>
          <w:p w:rsidR="00A447F1" w:rsidRPr="0033036C" w:rsidRDefault="009056AB" w:rsidP="0033036C">
            <w:pPr>
              <w:spacing w:after="0" w:line="240" w:lineRule="auto"/>
              <w:jc w:val="center"/>
              <w:rPr>
                <w:rFonts w:ascii="Times New Roman" w:eastAsia="Times New Roman" w:hAnsi="Times New Roman"/>
                <w:color w:val="000000"/>
              </w:rPr>
            </w:pPr>
            <w:r w:rsidRPr="0033036C">
              <w:rPr>
                <w:color w:val="000000"/>
              </w:rPr>
              <w:t>-25.61%</w:t>
            </w:r>
          </w:p>
        </w:tc>
        <w:tc>
          <w:tcPr>
            <w:tcW w:w="871" w:type="pct"/>
            <w:shd w:val="clear" w:color="auto" w:fill="auto"/>
            <w:vAlign w:val="center"/>
          </w:tcPr>
          <w:p w:rsidR="00A447F1" w:rsidRPr="0033036C" w:rsidRDefault="009056AB" w:rsidP="0033036C">
            <w:pPr>
              <w:spacing w:after="0" w:line="240" w:lineRule="auto"/>
              <w:jc w:val="center"/>
              <w:rPr>
                <w:rFonts w:ascii="Times New Roman" w:eastAsia="Times New Roman" w:hAnsi="Times New Roman"/>
                <w:color w:val="000000"/>
              </w:rPr>
            </w:pPr>
            <w:r w:rsidRPr="0033036C">
              <w:rPr>
                <w:color w:val="000000"/>
              </w:rPr>
              <w:t>-39.54%</w:t>
            </w:r>
          </w:p>
        </w:tc>
        <w:tc>
          <w:tcPr>
            <w:tcW w:w="1052" w:type="pct"/>
            <w:shd w:val="clear" w:color="auto" w:fill="auto"/>
            <w:vAlign w:val="center"/>
          </w:tcPr>
          <w:p w:rsidR="00A447F1" w:rsidRPr="0033036C" w:rsidRDefault="009056AB" w:rsidP="0033036C">
            <w:pPr>
              <w:spacing w:after="0" w:line="240" w:lineRule="auto"/>
              <w:jc w:val="center"/>
              <w:rPr>
                <w:rFonts w:ascii="Times New Roman" w:eastAsia="Times New Roman" w:hAnsi="Times New Roman"/>
                <w:color w:val="000000"/>
              </w:rPr>
            </w:pPr>
            <w:r w:rsidRPr="0033036C">
              <w:rPr>
                <w:color w:val="000000"/>
              </w:rPr>
              <w:t>-1125.84%</w:t>
            </w:r>
          </w:p>
        </w:tc>
      </w:tr>
      <w:tr w:rsidR="0010079D" w:rsidRPr="0033036C" w:rsidTr="0033036C">
        <w:tc>
          <w:tcPr>
            <w:tcW w:w="1894" w:type="pct"/>
            <w:shd w:val="clear" w:color="auto" w:fill="auto"/>
            <w:vAlign w:val="center"/>
          </w:tcPr>
          <w:p w:rsidR="0010079D" w:rsidRPr="0033036C" w:rsidRDefault="0010079D" w:rsidP="0010079D">
            <w:pPr>
              <w:tabs>
                <w:tab w:val="left" w:pos="540"/>
              </w:tabs>
              <w:spacing w:before="120" w:after="0" w:line="240" w:lineRule="auto"/>
              <w:rPr>
                <w:rFonts w:ascii="Arial" w:eastAsia="Times New Roman" w:hAnsi="Arial" w:cs="Arial"/>
                <w:sz w:val="20"/>
                <w:szCs w:val="26"/>
                <w:lang w:val="nl-NL"/>
              </w:rPr>
            </w:pPr>
            <w:r w:rsidRPr="0033036C">
              <w:rPr>
                <w:rFonts w:ascii="Arial" w:eastAsia="Times New Roman" w:hAnsi="Arial" w:cs="Arial"/>
                <w:sz w:val="20"/>
                <w:szCs w:val="26"/>
                <w:lang w:val="nl-NL"/>
              </w:rPr>
              <w:t>2.10.Phân phối gộp trên 1 đơn vị CCQ</w:t>
            </w:r>
          </w:p>
        </w:tc>
        <w:tc>
          <w:tcPr>
            <w:tcW w:w="1183" w:type="pct"/>
            <w:shd w:val="clear" w:color="auto" w:fill="auto"/>
            <w:vAlign w:val="center"/>
          </w:tcPr>
          <w:p w:rsidR="0010079D" w:rsidRPr="0033036C" w:rsidRDefault="0010079D" w:rsidP="0010079D">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Không có</w:t>
            </w:r>
          </w:p>
        </w:tc>
        <w:tc>
          <w:tcPr>
            <w:tcW w:w="871" w:type="pct"/>
            <w:shd w:val="clear" w:color="auto" w:fill="auto"/>
            <w:vAlign w:val="center"/>
          </w:tcPr>
          <w:p w:rsidR="0010079D" w:rsidRPr="0033036C" w:rsidRDefault="0010079D" w:rsidP="0010079D">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Không có</w:t>
            </w:r>
          </w:p>
        </w:tc>
        <w:tc>
          <w:tcPr>
            <w:tcW w:w="1052" w:type="pct"/>
            <w:shd w:val="clear" w:color="auto" w:fill="auto"/>
            <w:vAlign w:val="center"/>
          </w:tcPr>
          <w:p w:rsidR="0010079D" w:rsidRPr="0033036C" w:rsidRDefault="0010079D" w:rsidP="0010079D">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Không có</w:t>
            </w:r>
          </w:p>
        </w:tc>
      </w:tr>
      <w:tr w:rsidR="0010079D" w:rsidRPr="0033036C" w:rsidTr="0033036C">
        <w:tc>
          <w:tcPr>
            <w:tcW w:w="1894" w:type="pct"/>
            <w:shd w:val="clear" w:color="auto" w:fill="auto"/>
            <w:vAlign w:val="center"/>
          </w:tcPr>
          <w:p w:rsidR="0010079D" w:rsidRPr="0033036C" w:rsidRDefault="0010079D" w:rsidP="0010079D">
            <w:pPr>
              <w:tabs>
                <w:tab w:val="left" w:pos="540"/>
              </w:tabs>
              <w:spacing w:before="120" w:after="0" w:line="240" w:lineRule="auto"/>
              <w:rPr>
                <w:rFonts w:ascii="Arial" w:eastAsia="Times New Roman" w:hAnsi="Arial" w:cs="Arial"/>
                <w:sz w:val="20"/>
                <w:szCs w:val="26"/>
                <w:lang w:val="nl-NL"/>
              </w:rPr>
            </w:pPr>
            <w:r w:rsidRPr="0033036C">
              <w:rPr>
                <w:rFonts w:ascii="Arial" w:eastAsia="Times New Roman" w:hAnsi="Arial" w:cs="Arial"/>
                <w:sz w:val="20"/>
                <w:szCs w:val="26"/>
                <w:lang w:val="nl-NL"/>
              </w:rPr>
              <w:t>2.11.Phân phối ròng trên 1 đơn vị CCQ</w:t>
            </w:r>
          </w:p>
        </w:tc>
        <w:tc>
          <w:tcPr>
            <w:tcW w:w="1183" w:type="pct"/>
            <w:shd w:val="clear" w:color="auto" w:fill="auto"/>
            <w:vAlign w:val="center"/>
          </w:tcPr>
          <w:p w:rsidR="0010079D" w:rsidRPr="0033036C" w:rsidRDefault="0010079D" w:rsidP="0010079D">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Không có</w:t>
            </w:r>
          </w:p>
        </w:tc>
        <w:tc>
          <w:tcPr>
            <w:tcW w:w="871" w:type="pct"/>
            <w:shd w:val="clear" w:color="auto" w:fill="auto"/>
            <w:vAlign w:val="center"/>
          </w:tcPr>
          <w:p w:rsidR="0010079D" w:rsidRPr="0033036C" w:rsidRDefault="0010079D" w:rsidP="0010079D">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Không có</w:t>
            </w:r>
          </w:p>
        </w:tc>
        <w:tc>
          <w:tcPr>
            <w:tcW w:w="1052" w:type="pct"/>
            <w:shd w:val="clear" w:color="auto" w:fill="auto"/>
            <w:vAlign w:val="center"/>
          </w:tcPr>
          <w:p w:rsidR="0010079D" w:rsidRPr="0033036C" w:rsidRDefault="0010079D" w:rsidP="0010079D">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Không có</w:t>
            </w:r>
          </w:p>
        </w:tc>
      </w:tr>
      <w:tr w:rsidR="0010079D" w:rsidRPr="0033036C" w:rsidTr="0033036C">
        <w:tc>
          <w:tcPr>
            <w:tcW w:w="1894" w:type="pct"/>
            <w:shd w:val="clear" w:color="auto" w:fill="auto"/>
            <w:vAlign w:val="center"/>
          </w:tcPr>
          <w:p w:rsidR="0010079D" w:rsidRPr="0033036C" w:rsidRDefault="0010079D" w:rsidP="0010079D">
            <w:pPr>
              <w:tabs>
                <w:tab w:val="left" w:pos="540"/>
              </w:tabs>
              <w:spacing w:before="120" w:after="0" w:line="240" w:lineRule="auto"/>
              <w:rPr>
                <w:rFonts w:ascii="Arial" w:eastAsia="Times New Roman" w:hAnsi="Arial" w:cs="Arial"/>
                <w:sz w:val="20"/>
                <w:szCs w:val="26"/>
                <w:lang w:val="nl-NL"/>
              </w:rPr>
            </w:pPr>
            <w:r w:rsidRPr="0033036C">
              <w:rPr>
                <w:rFonts w:ascii="Arial" w:eastAsia="Times New Roman" w:hAnsi="Arial" w:cs="Arial"/>
                <w:sz w:val="20"/>
                <w:szCs w:val="26"/>
                <w:lang w:val="nl-NL"/>
              </w:rPr>
              <w:lastRenderedPageBreak/>
              <w:t>2.12.Ngày chốt quyền (Ex-date of distribution)</w:t>
            </w:r>
          </w:p>
        </w:tc>
        <w:tc>
          <w:tcPr>
            <w:tcW w:w="1183" w:type="pct"/>
            <w:shd w:val="clear" w:color="auto" w:fill="auto"/>
            <w:vAlign w:val="center"/>
          </w:tcPr>
          <w:p w:rsidR="0010079D" w:rsidRPr="0033036C" w:rsidRDefault="0010079D" w:rsidP="0010079D">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Không có</w:t>
            </w:r>
          </w:p>
        </w:tc>
        <w:tc>
          <w:tcPr>
            <w:tcW w:w="871" w:type="pct"/>
            <w:shd w:val="clear" w:color="auto" w:fill="auto"/>
            <w:vAlign w:val="center"/>
          </w:tcPr>
          <w:p w:rsidR="0010079D" w:rsidRPr="0033036C" w:rsidRDefault="0010079D" w:rsidP="0010079D">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Không có</w:t>
            </w:r>
          </w:p>
        </w:tc>
        <w:tc>
          <w:tcPr>
            <w:tcW w:w="1052" w:type="pct"/>
            <w:shd w:val="clear" w:color="auto" w:fill="auto"/>
            <w:vAlign w:val="center"/>
          </w:tcPr>
          <w:p w:rsidR="0010079D" w:rsidRPr="0033036C" w:rsidRDefault="0010079D" w:rsidP="0010079D">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Không có</w:t>
            </w:r>
          </w:p>
        </w:tc>
      </w:tr>
      <w:tr w:rsidR="0010079D" w:rsidRPr="0033036C" w:rsidTr="0033036C">
        <w:tc>
          <w:tcPr>
            <w:tcW w:w="1894" w:type="pct"/>
            <w:shd w:val="clear" w:color="auto" w:fill="auto"/>
            <w:vAlign w:val="center"/>
          </w:tcPr>
          <w:p w:rsidR="0010079D" w:rsidRPr="0033036C" w:rsidRDefault="0010079D" w:rsidP="0010079D">
            <w:pPr>
              <w:tabs>
                <w:tab w:val="left" w:pos="540"/>
              </w:tabs>
              <w:spacing w:before="120" w:after="0" w:line="240" w:lineRule="auto"/>
              <w:rPr>
                <w:rFonts w:ascii="Arial" w:eastAsia="Times New Roman" w:hAnsi="Arial" w:cs="Arial"/>
                <w:sz w:val="20"/>
                <w:szCs w:val="26"/>
                <w:lang w:val="nl-NL"/>
              </w:rPr>
            </w:pPr>
            <w:r w:rsidRPr="0033036C">
              <w:rPr>
                <w:rFonts w:ascii="Arial" w:eastAsia="Times New Roman" w:hAnsi="Arial" w:cs="Arial"/>
                <w:sz w:val="20"/>
                <w:szCs w:val="26"/>
                <w:lang w:val="nl-NL"/>
              </w:rPr>
              <w:t>2.13.Tỷ lệ chi phí hoạt động của quỹ (%)</w:t>
            </w:r>
          </w:p>
        </w:tc>
        <w:tc>
          <w:tcPr>
            <w:tcW w:w="1183" w:type="pct"/>
            <w:shd w:val="clear" w:color="auto" w:fill="auto"/>
            <w:vAlign w:val="center"/>
          </w:tcPr>
          <w:p w:rsidR="009056AB" w:rsidRPr="0033036C" w:rsidRDefault="009056AB" w:rsidP="0033036C">
            <w:pPr>
              <w:spacing w:after="0" w:line="240" w:lineRule="auto"/>
              <w:jc w:val="center"/>
              <w:rPr>
                <w:rFonts w:ascii="Times New Roman" w:eastAsia="Times New Roman" w:hAnsi="Times New Roman"/>
                <w:color w:val="000000"/>
              </w:rPr>
            </w:pPr>
            <w:r w:rsidRPr="0033036C">
              <w:rPr>
                <w:color w:val="000000"/>
              </w:rPr>
              <w:t>2.41%</w:t>
            </w:r>
          </w:p>
          <w:p w:rsidR="0010079D" w:rsidRPr="0033036C" w:rsidRDefault="0010079D" w:rsidP="0010079D">
            <w:pPr>
              <w:spacing w:before="120" w:after="0" w:line="240" w:lineRule="auto"/>
              <w:ind w:right="90"/>
              <w:jc w:val="right"/>
              <w:rPr>
                <w:rFonts w:ascii="Times New Roman" w:eastAsia="Times New Roman" w:hAnsi="Times New Roman"/>
                <w:lang w:val="nl-NL"/>
              </w:rPr>
            </w:pPr>
          </w:p>
        </w:tc>
        <w:tc>
          <w:tcPr>
            <w:tcW w:w="871" w:type="pct"/>
            <w:shd w:val="clear" w:color="auto" w:fill="auto"/>
            <w:vAlign w:val="center"/>
          </w:tcPr>
          <w:p w:rsidR="009056AB" w:rsidRPr="0033036C" w:rsidRDefault="009056AB" w:rsidP="0033036C">
            <w:pPr>
              <w:spacing w:after="0" w:line="240" w:lineRule="auto"/>
              <w:jc w:val="center"/>
              <w:rPr>
                <w:rFonts w:ascii="Times New Roman" w:eastAsia="Times New Roman" w:hAnsi="Times New Roman"/>
                <w:color w:val="000000"/>
              </w:rPr>
            </w:pPr>
            <w:r w:rsidRPr="0033036C">
              <w:rPr>
                <w:color w:val="000000"/>
              </w:rPr>
              <w:t>2.48%</w:t>
            </w:r>
          </w:p>
          <w:p w:rsidR="0010079D" w:rsidRPr="0033036C" w:rsidRDefault="0010079D" w:rsidP="0010079D">
            <w:pPr>
              <w:spacing w:before="120" w:after="0" w:line="240" w:lineRule="auto"/>
              <w:ind w:right="90"/>
              <w:jc w:val="right"/>
              <w:rPr>
                <w:rFonts w:ascii="Times New Roman" w:eastAsia="Times New Roman" w:hAnsi="Times New Roman"/>
                <w:lang w:val="nl-NL"/>
              </w:rPr>
            </w:pPr>
          </w:p>
        </w:tc>
        <w:tc>
          <w:tcPr>
            <w:tcW w:w="1052" w:type="pct"/>
            <w:shd w:val="clear" w:color="auto" w:fill="auto"/>
            <w:vAlign w:val="center"/>
          </w:tcPr>
          <w:p w:rsidR="009056AB" w:rsidRPr="0033036C" w:rsidRDefault="009056AB" w:rsidP="009056AB">
            <w:pPr>
              <w:spacing w:after="0" w:line="240" w:lineRule="auto"/>
              <w:jc w:val="center"/>
              <w:rPr>
                <w:rFonts w:ascii="Times New Roman" w:eastAsia="Times New Roman" w:hAnsi="Times New Roman"/>
                <w:color w:val="000000"/>
              </w:rPr>
            </w:pPr>
            <w:r w:rsidRPr="0033036C">
              <w:rPr>
                <w:color w:val="000000"/>
              </w:rPr>
              <w:t>2.70%</w:t>
            </w:r>
          </w:p>
          <w:p w:rsidR="0010079D" w:rsidRPr="0033036C" w:rsidRDefault="0010079D" w:rsidP="0010079D">
            <w:pPr>
              <w:tabs>
                <w:tab w:val="left" w:pos="540"/>
              </w:tabs>
              <w:spacing w:before="120" w:after="0" w:line="240" w:lineRule="auto"/>
              <w:jc w:val="center"/>
              <w:rPr>
                <w:rFonts w:ascii="Arial" w:eastAsia="Times New Roman" w:hAnsi="Arial" w:cs="Arial"/>
                <w:sz w:val="20"/>
                <w:szCs w:val="26"/>
                <w:lang w:val="nl-NL"/>
              </w:rPr>
            </w:pPr>
          </w:p>
        </w:tc>
      </w:tr>
      <w:tr w:rsidR="0010079D" w:rsidRPr="0033036C" w:rsidTr="0033036C">
        <w:tc>
          <w:tcPr>
            <w:tcW w:w="1894" w:type="pct"/>
            <w:shd w:val="clear" w:color="auto" w:fill="auto"/>
            <w:vAlign w:val="center"/>
          </w:tcPr>
          <w:p w:rsidR="0010079D" w:rsidRPr="0033036C" w:rsidRDefault="0010079D" w:rsidP="0010079D">
            <w:pPr>
              <w:tabs>
                <w:tab w:val="left" w:pos="540"/>
              </w:tabs>
              <w:spacing w:before="120" w:after="0" w:line="240" w:lineRule="auto"/>
              <w:rPr>
                <w:rFonts w:ascii="Arial" w:eastAsia="Times New Roman" w:hAnsi="Arial" w:cs="Arial"/>
                <w:sz w:val="20"/>
                <w:szCs w:val="26"/>
                <w:lang w:val="nl-NL"/>
              </w:rPr>
            </w:pPr>
            <w:r w:rsidRPr="0033036C">
              <w:rPr>
                <w:rFonts w:ascii="Arial" w:eastAsia="Times New Roman" w:hAnsi="Arial" w:cs="Arial"/>
                <w:sz w:val="20"/>
                <w:szCs w:val="26"/>
                <w:lang w:val="nl-NL"/>
              </w:rPr>
              <w:t>2.14.Tốc độ vòng quay danh mục (lần)</w:t>
            </w:r>
          </w:p>
        </w:tc>
        <w:tc>
          <w:tcPr>
            <w:tcW w:w="1183" w:type="pct"/>
            <w:shd w:val="clear" w:color="auto" w:fill="auto"/>
            <w:vAlign w:val="center"/>
          </w:tcPr>
          <w:p w:rsidR="0010079D" w:rsidRPr="0033036C" w:rsidRDefault="009056AB" w:rsidP="0010079D">
            <w:pPr>
              <w:spacing w:before="120" w:after="0" w:line="240" w:lineRule="auto"/>
              <w:ind w:right="90"/>
              <w:jc w:val="right"/>
              <w:rPr>
                <w:rFonts w:ascii="Times New Roman" w:eastAsia="Times New Roman" w:hAnsi="Times New Roman"/>
                <w:lang w:val="nl-NL"/>
              </w:rPr>
            </w:pPr>
            <w:r w:rsidRPr="0033036C">
              <w:rPr>
                <w:rFonts w:ascii="Times New Roman" w:eastAsia="Times New Roman" w:hAnsi="Times New Roman"/>
                <w:lang w:val="nl-NL"/>
              </w:rPr>
              <w:t>1.1</w:t>
            </w:r>
          </w:p>
        </w:tc>
        <w:tc>
          <w:tcPr>
            <w:tcW w:w="871" w:type="pct"/>
            <w:shd w:val="clear" w:color="auto" w:fill="auto"/>
            <w:vAlign w:val="center"/>
          </w:tcPr>
          <w:p w:rsidR="0010079D" w:rsidRPr="0033036C" w:rsidRDefault="009056AB" w:rsidP="0033036C">
            <w:pPr>
              <w:spacing w:before="120" w:after="0" w:line="240" w:lineRule="auto"/>
              <w:ind w:right="90"/>
              <w:jc w:val="center"/>
              <w:rPr>
                <w:rFonts w:ascii="Times New Roman" w:eastAsia="Times New Roman" w:hAnsi="Times New Roman"/>
                <w:lang w:val="nl-NL"/>
              </w:rPr>
            </w:pPr>
            <w:r w:rsidRPr="0033036C">
              <w:rPr>
                <w:rFonts w:ascii="Times New Roman" w:eastAsia="Times New Roman" w:hAnsi="Times New Roman"/>
                <w:lang w:val="nl-NL"/>
              </w:rPr>
              <w:t>1.28</w:t>
            </w:r>
          </w:p>
        </w:tc>
        <w:tc>
          <w:tcPr>
            <w:tcW w:w="1052" w:type="pct"/>
            <w:shd w:val="clear" w:color="auto" w:fill="auto"/>
            <w:vAlign w:val="center"/>
          </w:tcPr>
          <w:p w:rsidR="0033036C" w:rsidRDefault="0033036C" w:rsidP="0010079D">
            <w:pPr>
              <w:spacing w:after="0" w:line="240" w:lineRule="auto"/>
              <w:jc w:val="center"/>
            </w:pPr>
          </w:p>
          <w:p w:rsidR="0010079D" w:rsidRPr="0033036C" w:rsidRDefault="009056AB" w:rsidP="0033036C">
            <w:pPr>
              <w:spacing w:after="0" w:line="240" w:lineRule="auto"/>
              <w:jc w:val="center"/>
              <w:rPr>
                <w:rFonts w:ascii="Times New Roman" w:eastAsia="Times New Roman" w:hAnsi="Times New Roman"/>
              </w:rPr>
            </w:pPr>
            <w:r w:rsidRPr="0033036C">
              <w:t>1.1</w:t>
            </w:r>
          </w:p>
        </w:tc>
      </w:tr>
    </w:tbl>
    <w:p w:rsidR="0060532E" w:rsidRPr="0033036C" w:rsidRDefault="0060532E" w:rsidP="0060532E">
      <w:pPr>
        <w:shd w:val="clear" w:color="auto" w:fill="FFFFFF"/>
        <w:tabs>
          <w:tab w:val="left" w:pos="540"/>
        </w:tabs>
        <w:spacing w:before="120" w:after="0" w:line="240" w:lineRule="auto"/>
        <w:rPr>
          <w:rFonts w:ascii="Arial" w:hAnsi="Arial" w:cs="Arial"/>
          <w:i/>
          <w:sz w:val="20"/>
          <w:szCs w:val="26"/>
          <w:lang w:val="nl-NL"/>
        </w:rPr>
      </w:pPr>
      <w:r w:rsidRPr="0033036C">
        <w:rPr>
          <w:rFonts w:ascii="Arial" w:hAnsi="Arial" w:cs="Arial"/>
          <w:sz w:val="20"/>
          <w:szCs w:val="26"/>
          <w:lang w:val="nl-NL"/>
        </w:rPr>
        <w:t xml:space="preserve">● </w:t>
      </w:r>
      <w:r w:rsidRPr="0033036C">
        <w:rPr>
          <w:rFonts w:ascii="Arial" w:hAnsi="Arial" w:cs="Arial"/>
          <w:i/>
          <w:sz w:val="20"/>
          <w:szCs w:val="26"/>
          <w:lang w:val="nl-NL"/>
        </w:rPr>
        <w:t>Tốc độ vòng quay danh mục: Có thể thuyết minh những nhân tố ảnh hưởng.</w:t>
      </w:r>
    </w:p>
    <w:p w:rsidR="0033036C" w:rsidRDefault="0033036C" w:rsidP="004479A1">
      <w:pPr>
        <w:spacing w:after="160" w:line="259" w:lineRule="auto"/>
        <w:rPr>
          <w:rFonts w:ascii="Arial" w:hAnsi="Arial" w:cs="Arial"/>
          <w:b/>
          <w:sz w:val="20"/>
          <w:szCs w:val="26"/>
          <w:lang w:val="nl-NL"/>
        </w:rPr>
      </w:pPr>
    </w:p>
    <w:p w:rsidR="0060532E" w:rsidRPr="0033036C" w:rsidRDefault="0060532E" w:rsidP="004479A1">
      <w:pPr>
        <w:spacing w:after="160" w:line="259" w:lineRule="auto"/>
        <w:rPr>
          <w:rFonts w:ascii="Arial" w:hAnsi="Arial" w:cs="Arial"/>
          <w:b/>
          <w:sz w:val="20"/>
          <w:szCs w:val="26"/>
          <w:lang w:val="nl-NL"/>
        </w:rPr>
      </w:pPr>
      <w:r w:rsidRPr="0033036C">
        <w:rPr>
          <w:rFonts w:ascii="Arial" w:hAnsi="Arial" w:cs="Arial"/>
          <w:b/>
          <w:sz w:val="20"/>
          <w:szCs w:val="26"/>
          <w:lang w:val="nl-NL"/>
        </w:rPr>
        <w:t>3.Tăng trưởng qua các thời kỳ:</w:t>
      </w:r>
    </w:p>
    <w:tbl>
      <w:tblPr>
        <w:tblW w:w="93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756"/>
        <w:gridCol w:w="1979"/>
        <w:gridCol w:w="4619"/>
      </w:tblGrid>
      <w:tr w:rsidR="0060532E" w:rsidRPr="0033036C" w:rsidTr="00FF76D8">
        <w:tc>
          <w:tcPr>
            <w:tcW w:w="1473" w:type="pct"/>
            <w:shd w:val="clear" w:color="auto" w:fill="auto"/>
            <w:vAlign w:val="center"/>
          </w:tcPr>
          <w:p w:rsidR="0060532E" w:rsidRPr="0033036C" w:rsidRDefault="0060532E" w:rsidP="003201B7">
            <w:pPr>
              <w:tabs>
                <w:tab w:val="left" w:pos="540"/>
              </w:tabs>
              <w:spacing w:before="120" w:after="0" w:line="240" w:lineRule="auto"/>
              <w:rPr>
                <w:rFonts w:ascii="Arial" w:eastAsia="Times New Roman" w:hAnsi="Arial" w:cs="Arial"/>
                <w:sz w:val="20"/>
                <w:szCs w:val="26"/>
                <w:lang w:val="nl-NL"/>
              </w:rPr>
            </w:pPr>
            <w:r w:rsidRPr="0033036C">
              <w:rPr>
                <w:rFonts w:ascii="Arial" w:eastAsia="Times New Roman" w:hAnsi="Arial" w:cs="Arial"/>
                <w:sz w:val="20"/>
                <w:szCs w:val="26"/>
                <w:lang w:val="nl-NL"/>
              </w:rPr>
              <w:t>Giai đoạn</w:t>
            </w:r>
          </w:p>
        </w:tc>
        <w:tc>
          <w:tcPr>
            <w:tcW w:w="1058" w:type="pct"/>
            <w:shd w:val="clear" w:color="auto" w:fill="auto"/>
            <w:vAlign w:val="center"/>
          </w:tcPr>
          <w:p w:rsidR="0060532E" w:rsidRPr="0033036C" w:rsidRDefault="0060532E" w:rsidP="003201B7">
            <w:pPr>
              <w:tabs>
                <w:tab w:val="left" w:pos="540"/>
              </w:tabs>
              <w:spacing w:before="120" w:after="0" w:line="240" w:lineRule="auto"/>
              <w:rPr>
                <w:rFonts w:ascii="Arial" w:eastAsia="Times New Roman" w:hAnsi="Arial" w:cs="Arial"/>
                <w:sz w:val="20"/>
                <w:szCs w:val="26"/>
                <w:lang w:val="nl-NL"/>
              </w:rPr>
            </w:pPr>
            <w:r w:rsidRPr="0033036C">
              <w:rPr>
                <w:rFonts w:ascii="Arial" w:eastAsia="Times New Roman" w:hAnsi="Arial" w:cs="Arial"/>
                <w:sz w:val="20"/>
                <w:szCs w:val="26"/>
                <w:lang w:val="nl-NL"/>
              </w:rPr>
              <w:t>Tổng tăng trưởng của NAV/CCQ</w:t>
            </w:r>
          </w:p>
        </w:tc>
        <w:tc>
          <w:tcPr>
            <w:tcW w:w="2469" w:type="pct"/>
            <w:shd w:val="clear" w:color="auto" w:fill="auto"/>
            <w:vAlign w:val="center"/>
          </w:tcPr>
          <w:p w:rsidR="0060532E" w:rsidRPr="0033036C" w:rsidRDefault="0060532E" w:rsidP="003201B7">
            <w:pPr>
              <w:tabs>
                <w:tab w:val="left" w:pos="540"/>
              </w:tabs>
              <w:spacing w:before="120" w:after="0" w:line="240" w:lineRule="auto"/>
              <w:rPr>
                <w:rFonts w:ascii="Arial" w:eastAsia="Times New Roman" w:hAnsi="Arial" w:cs="Arial"/>
                <w:sz w:val="20"/>
                <w:szCs w:val="26"/>
                <w:lang w:val="nl-NL"/>
              </w:rPr>
            </w:pPr>
            <w:r w:rsidRPr="0033036C">
              <w:rPr>
                <w:rFonts w:ascii="Arial" w:eastAsia="Times New Roman" w:hAnsi="Arial" w:cs="Arial"/>
                <w:sz w:val="20"/>
                <w:szCs w:val="26"/>
                <w:lang w:val="nl-NL"/>
              </w:rPr>
              <w:t>Tăng trưởng NAV/CCQ hàng năm</w:t>
            </w:r>
          </w:p>
        </w:tc>
      </w:tr>
      <w:tr w:rsidR="0060532E" w:rsidRPr="0033036C" w:rsidTr="00FF76D8">
        <w:tc>
          <w:tcPr>
            <w:tcW w:w="1473" w:type="pct"/>
            <w:shd w:val="clear" w:color="auto" w:fill="auto"/>
            <w:vAlign w:val="center"/>
          </w:tcPr>
          <w:p w:rsidR="0060532E" w:rsidRPr="0033036C" w:rsidRDefault="0060532E" w:rsidP="003201B7">
            <w:pPr>
              <w:tabs>
                <w:tab w:val="left" w:pos="540"/>
              </w:tabs>
              <w:spacing w:before="120" w:after="0" w:line="240" w:lineRule="auto"/>
              <w:rPr>
                <w:rFonts w:ascii="Arial" w:eastAsia="Times New Roman" w:hAnsi="Arial" w:cs="Arial"/>
                <w:sz w:val="20"/>
                <w:szCs w:val="26"/>
                <w:lang w:val="nl-NL"/>
              </w:rPr>
            </w:pPr>
            <w:r w:rsidRPr="0033036C">
              <w:rPr>
                <w:rFonts w:ascii="Arial" w:eastAsia="Times New Roman" w:hAnsi="Arial" w:cs="Arial"/>
                <w:sz w:val="20"/>
                <w:szCs w:val="26"/>
                <w:lang w:val="nl-NL"/>
              </w:rPr>
              <w:t>- 1 năm</w:t>
            </w:r>
          </w:p>
        </w:tc>
        <w:tc>
          <w:tcPr>
            <w:tcW w:w="1058" w:type="pct"/>
            <w:shd w:val="clear" w:color="auto" w:fill="auto"/>
            <w:vAlign w:val="center"/>
          </w:tcPr>
          <w:p w:rsidR="0060532E" w:rsidRPr="0033036C" w:rsidRDefault="009A1165" w:rsidP="000F2734">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30.3</w:t>
            </w:r>
          </w:p>
        </w:tc>
        <w:tc>
          <w:tcPr>
            <w:tcW w:w="2469" w:type="pct"/>
            <w:shd w:val="clear" w:color="auto" w:fill="auto"/>
            <w:vAlign w:val="center"/>
          </w:tcPr>
          <w:p w:rsidR="0060532E" w:rsidRPr="0033036C" w:rsidRDefault="00DE53B6" w:rsidP="00CE1669">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30.3</w:t>
            </w:r>
          </w:p>
        </w:tc>
      </w:tr>
      <w:tr w:rsidR="0060532E" w:rsidRPr="0033036C" w:rsidTr="00FF76D8">
        <w:tc>
          <w:tcPr>
            <w:tcW w:w="1473" w:type="pct"/>
            <w:shd w:val="clear" w:color="auto" w:fill="auto"/>
            <w:vAlign w:val="center"/>
          </w:tcPr>
          <w:p w:rsidR="0060532E" w:rsidRPr="0033036C" w:rsidRDefault="0060532E" w:rsidP="003201B7">
            <w:pPr>
              <w:tabs>
                <w:tab w:val="left" w:pos="540"/>
              </w:tabs>
              <w:spacing w:before="120" w:after="0" w:line="240" w:lineRule="auto"/>
              <w:rPr>
                <w:rFonts w:ascii="Arial" w:eastAsia="Times New Roman" w:hAnsi="Arial" w:cs="Arial"/>
                <w:sz w:val="20"/>
                <w:szCs w:val="26"/>
                <w:lang w:val="nl-NL"/>
              </w:rPr>
            </w:pPr>
            <w:r w:rsidRPr="0033036C">
              <w:rPr>
                <w:rFonts w:ascii="Arial" w:eastAsia="Times New Roman" w:hAnsi="Arial" w:cs="Arial"/>
                <w:sz w:val="20"/>
                <w:szCs w:val="26"/>
                <w:lang w:val="nl-NL"/>
              </w:rPr>
              <w:t>- 3 năm</w:t>
            </w:r>
          </w:p>
        </w:tc>
        <w:tc>
          <w:tcPr>
            <w:tcW w:w="1058" w:type="pct"/>
            <w:shd w:val="clear" w:color="auto" w:fill="auto"/>
            <w:vAlign w:val="center"/>
          </w:tcPr>
          <w:p w:rsidR="0060532E" w:rsidRPr="0033036C" w:rsidRDefault="009A1165" w:rsidP="00CE1669">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58.2</w:t>
            </w:r>
          </w:p>
        </w:tc>
        <w:tc>
          <w:tcPr>
            <w:tcW w:w="2469" w:type="pct"/>
            <w:shd w:val="clear" w:color="auto" w:fill="auto"/>
            <w:vAlign w:val="center"/>
          </w:tcPr>
          <w:p w:rsidR="0060532E" w:rsidRPr="0033036C" w:rsidRDefault="000F2734" w:rsidP="00CE1669">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1</w:t>
            </w:r>
            <w:r w:rsidR="00DE53B6" w:rsidRPr="0033036C">
              <w:rPr>
                <w:rFonts w:ascii="Arial" w:eastAsia="Times New Roman" w:hAnsi="Arial" w:cs="Arial"/>
                <w:sz w:val="20"/>
                <w:szCs w:val="26"/>
                <w:lang w:val="nl-NL"/>
              </w:rPr>
              <w:t>6.5</w:t>
            </w:r>
          </w:p>
        </w:tc>
      </w:tr>
      <w:tr w:rsidR="0060532E" w:rsidRPr="0033036C" w:rsidTr="00FF76D8">
        <w:trPr>
          <w:trHeight w:val="328"/>
        </w:trPr>
        <w:tc>
          <w:tcPr>
            <w:tcW w:w="1473" w:type="pct"/>
            <w:shd w:val="clear" w:color="auto" w:fill="auto"/>
            <w:vAlign w:val="center"/>
          </w:tcPr>
          <w:p w:rsidR="0060532E" w:rsidRPr="0033036C" w:rsidRDefault="0060532E" w:rsidP="003201B7">
            <w:pPr>
              <w:tabs>
                <w:tab w:val="left" w:pos="540"/>
              </w:tabs>
              <w:spacing w:before="120" w:after="0" w:line="240" w:lineRule="auto"/>
              <w:rPr>
                <w:rFonts w:ascii="Arial" w:eastAsia="Times New Roman" w:hAnsi="Arial" w:cs="Arial"/>
                <w:sz w:val="20"/>
                <w:szCs w:val="26"/>
                <w:lang w:val="nl-NL"/>
              </w:rPr>
            </w:pPr>
            <w:r w:rsidRPr="0033036C">
              <w:rPr>
                <w:rFonts w:ascii="Arial" w:eastAsia="Times New Roman" w:hAnsi="Arial" w:cs="Arial"/>
                <w:sz w:val="20"/>
                <w:szCs w:val="26"/>
                <w:lang w:val="nl-NL"/>
              </w:rPr>
              <w:t>- Từ khi thành lập</w:t>
            </w:r>
          </w:p>
        </w:tc>
        <w:tc>
          <w:tcPr>
            <w:tcW w:w="1058" w:type="pct"/>
            <w:shd w:val="clear" w:color="auto" w:fill="auto"/>
            <w:vAlign w:val="center"/>
          </w:tcPr>
          <w:p w:rsidR="0060532E" w:rsidRPr="0033036C" w:rsidRDefault="009A1165" w:rsidP="00CE1669">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51.5</w:t>
            </w:r>
          </w:p>
        </w:tc>
        <w:tc>
          <w:tcPr>
            <w:tcW w:w="2469" w:type="pct"/>
            <w:shd w:val="clear" w:color="auto" w:fill="auto"/>
            <w:vAlign w:val="center"/>
          </w:tcPr>
          <w:p w:rsidR="0060532E" w:rsidRPr="0033036C" w:rsidRDefault="00CE1669" w:rsidP="00CE1669">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4.</w:t>
            </w:r>
            <w:r w:rsidR="00DE53B6" w:rsidRPr="0033036C">
              <w:rPr>
                <w:rFonts w:ascii="Arial" w:eastAsia="Times New Roman" w:hAnsi="Arial" w:cs="Arial"/>
                <w:sz w:val="20"/>
                <w:szCs w:val="26"/>
                <w:lang w:val="nl-NL"/>
              </w:rPr>
              <w:t>9</w:t>
            </w:r>
          </w:p>
        </w:tc>
      </w:tr>
      <w:tr w:rsidR="00FF76D8" w:rsidRPr="0033036C" w:rsidTr="00FF76D8">
        <w:tc>
          <w:tcPr>
            <w:tcW w:w="1473" w:type="pct"/>
            <w:shd w:val="clear" w:color="auto" w:fill="auto"/>
            <w:vAlign w:val="center"/>
          </w:tcPr>
          <w:p w:rsidR="00FF76D8" w:rsidRPr="0033036C" w:rsidRDefault="00FF76D8" w:rsidP="00FF76D8">
            <w:pPr>
              <w:tabs>
                <w:tab w:val="left" w:pos="540"/>
              </w:tabs>
              <w:spacing w:before="120" w:after="0" w:line="240" w:lineRule="auto"/>
              <w:rPr>
                <w:rFonts w:ascii="Arial" w:eastAsia="Times New Roman" w:hAnsi="Arial" w:cs="Arial"/>
                <w:sz w:val="20"/>
                <w:szCs w:val="26"/>
                <w:lang w:val="nl-NL"/>
              </w:rPr>
            </w:pPr>
            <w:r w:rsidRPr="0033036C">
              <w:rPr>
                <w:rFonts w:ascii="Arial" w:eastAsia="Times New Roman" w:hAnsi="Arial" w:cs="Arial"/>
                <w:sz w:val="20"/>
                <w:szCs w:val="26"/>
                <w:lang w:val="nl-NL"/>
              </w:rPr>
              <w:t>- Tăng trưởng của chỉ số tham chiếu</w:t>
            </w:r>
          </w:p>
        </w:tc>
        <w:tc>
          <w:tcPr>
            <w:tcW w:w="1058" w:type="pct"/>
            <w:shd w:val="clear" w:color="auto" w:fill="auto"/>
            <w:vAlign w:val="center"/>
          </w:tcPr>
          <w:p w:rsidR="00FF76D8" w:rsidRPr="0033036C" w:rsidRDefault="00FF76D8" w:rsidP="00FF76D8">
            <w:pPr>
              <w:tabs>
                <w:tab w:val="left" w:pos="540"/>
              </w:tabs>
              <w:spacing w:before="120" w:after="0" w:line="240" w:lineRule="auto"/>
              <w:rPr>
                <w:rFonts w:ascii="Arial" w:eastAsia="Times New Roman" w:hAnsi="Arial" w:cs="Arial"/>
                <w:sz w:val="20"/>
                <w:szCs w:val="26"/>
                <w:lang w:val="nl-NL"/>
              </w:rPr>
            </w:pPr>
            <w:r w:rsidRPr="0033036C">
              <w:rPr>
                <w:rFonts w:ascii="Arial" w:eastAsia="Times New Roman" w:hAnsi="Arial" w:cs="Arial"/>
                <w:sz w:val="20"/>
                <w:szCs w:val="26"/>
                <w:lang w:val="nl-NL"/>
              </w:rPr>
              <w:t>Không có chỉ số tham chiếu</w:t>
            </w:r>
          </w:p>
        </w:tc>
        <w:tc>
          <w:tcPr>
            <w:tcW w:w="2469" w:type="pct"/>
            <w:shd w:val="clear" w:color="auto" w:fill="auto"/>
            <w:vAlign w:val="center"/>
          </w:tcPr>
          <w:p w:rsidR="00FF76D8" w:rsidRPr="0033036C" w:rsidRDefault="00FF76D8" w:rsidP="00FF76D8">
            <w:pPr>
              <w:tabs>
                <w:tab w:val="left" w:pos="540"/>
              </w:tabs>
              <w:spacing w:before="120" w:after="0" w:line="240" w:lineRule="auto"/>
              <w:rPr>
                <w:rFonts w:ascii="Arial" w:eastAsia="Times New Roman" w:hAnsi="Arial" w:cs="Arial"/>
                <w:sz w:val="20"/>
                <w:szCs w:val="26"/>
                <w:lang w:val="nl-NL"/>
              </w:rPr>
            </w:pPr>
            <w:r w:rsidRPr="0033036C">
              <w:rPr>
                <w:rFonts w:ascii="Arial" w:eastAsia="Times New Roman" w:hAnsi="Arial" w:cs="Arial"/>
                <w:sz w:val="20"/>
                <w:szCs w:val="26"/>
                <w:lang w:val="nl-NL"/>
              </w:rPr>
              <w:t>Không có chỉ số tham chiếu</w:t>
            </w:r>
          </w:p>
        </w:tc>
      </w:tr>
    </w:tbl>
    <w:p w:rsidR="0060532E" w:rsidRPr="0033036C" w:rsidRDefault="0060532E" w:rsidP="0060532E">
      <w:pPr>
        <w:shd w:val="clear" w:color="auto" w:fill="FFFFFF"/>
        <w:tabs>
          <w:tab w:val="left" w:pos="540"/>
        </w:tabs>
        <w:spacing w:before="120" w:after="0" w:line="240" w:lineRule="auto"/>
        <w:rPr>
          <w:rFonts w:ascii="Arial" w:hAnsi="Arial" w:cs="Arial"/>
          <w:b/>
          <w:sz w:val="20"/>
          <w:szCs w:val="26"/>
          <w:lang w:val="nl-NL"/>
        </w:rPr>
      </w:pPr>
      <w:r w:rsidRPr="0033036C">
        <w:rPr>
          <w:rFonts w:ascii="Arial" w:hAnsi="Arial" w:cs="Arial"/>
          <w:b/>
          <w:sz w:val="20"/>
          <w:szCs w:val="26"/>
          <w:lang w:val="nl-NL"/>
        </w:rPr>
        <w:t>4. Tăng trưởng hàng năm:</w:t>
      </w:r>
    </w:p>
    <w:tbl>
      <w:tblPr>
        <w:tblW w:w="93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3046"/>
        <w:gridCol w:w="1435"/>
        <w:gridCol w:w="1534"/>
        <w:gridCol w:w="1534"/>
        <w:gridCol w:w="1805"/>
      </w:tblGrid>
      <w:tr w:rsidR="00F54B2C" w:rsidRPr="0033036C" w:rsidTr="00F54B2C">
        <w:tc>
          <w:tcPr>
            <w:tcW w:w="1628" w:type="pct"/>
            <w:shd w:val="clear" w:color="auto" w:fill="auto"/>
          </w:tcPr>
          <w:p w:rsidR="00F54B2C" w:rsidRPr="0033036C" w:rsidRDefault="00F54B2C" w:rsidP="00F54B2C">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Thời kỳ</w:t>
            </w:r>
          </w:p>
        </w:tc>
        <w:tc>
          <w:tcPr>
            <w:tcW w:w="767" w:type="pct"/>
            <w:shd w:val="clear" w:color="auto" w:fill="auto"/>
          </w:tcPr>
          <w:p w:rsidR="00F54B2C" w:rsidRPr="0033036C" w:rsidRDefault="00F54B2C" w:rsidP="00F54B2C">
            <w:pPr>
              <w:tabs>
                <w:tab w:val="left" w:pos="540"/>
              </w:tabs>
              <w:spacing w:before="120" w:after="0" w:line="240" w:lineRule="auto"/>
              <w:jc w:val="center"/>
              <w:rPr>
                <w:rFonts w:ascii="Arial" w:eastAsia="Times New Roman" w:hAnsi="Arial" w:cs="Arial"/>
                <w:b/>
                <w:sz w:val="20"/>
                <w:szCs w:val="26"/>
                <w:lang w:val="nl-NL"/>
              </w:rPr>
            </w:pPr>
            <w:r w:rsidRPr="0033036C">
              <w:rPr>
                <w:rFonts w:ascii="Arial" w:eastAsia="Times New Roman" w:hAnsi="Arial" w:cs="Arial"/>
                <w:b/>
                <w:sz w:val="20"/>
                <w:szCs w:val="26"/>
                <w:lang w:val="nl-NL"/>
              </w:rPr>
              <w:t>30/0</w:t>
            </w:r>
            <w:r w:rsidR="00DE53B6" w:rsidRPr="0033036C">
              <w:rPr>
                <w:rFonts w:ascii="Arial" w:eastAsia="Times New Roman" w:hAnsi="Arial" w:cs="Arial"/>
                <w:b/>
                <w:sz w:val="20"/>
                <w:szCs w:val="26"/>
                <w:lang w:val="nl-NL"/>
              </w:rPr>
              <w:t>9</w:t>
            </w:r>
            <w:r w:rsidRPr="0033036C">
              <w:rPr>
                <w:rFonts w:ascii="Arial" w:eastAsia="Times New Roman" w:hAnsi="Arial" w:cs="Arial"/>
                <w:b/>
                <w:sz w:val="20"/>
                <w:szCs w:val="26"/>
                <w:lang w:val="nl-NL"/>
              </w:rPr>
              <w:t>/2016</w:t>
            </w:r>
          </w:p>
          <w:p w:rsidR="00F54B2C" w:rsidRPr="0033036C" w:rsidRDefault="00F54B2C" w:rsidP="00F54B2C">
            <w:pPr>
              <w:tabs>
                <w:tab w:val="left" w:pos="540"/>
              </w:tabs>
              <w:spacing w:before="120" w:after="0" w:line="240" w:lineRule="auto"/>
              <w:jc w:val="center"/>
              <w:rPr>
                <w:rFonts w:ascii="Arial" w:eastAsia="Times New Roman" w:hAnsi="Arial" w:cs="Arial"/>
                <w:b/>
                <w:sz w:val="20"/>
                <w:szCs w:val="26"/>
                <w:lang w:val="nl-NL"/>
              </w:rPr>
            </w:pPr>
            <w:r w:rsidRPr="0033036C">
              <w:rPr>
                <w:rFonts w:ascii="Arial" w:eastAsia="Times New Roman" w:hAnsi="Arial" w:cs="Arial"/>
                <w:b/>
                <w:sz w:val="20"/>
                <w:szCs w:val="26"/>
                <w:lang w:val="nl-NL"/>
              </w:rPr>
              <w:t>(%)</w:t>
            </w:r>
          </w:p>
        </w:tc>
        <w:tc>
          <w:tcPr>
            <w:tcW w:w="820" w:type="pct"/>
            <w:shd w:val="clear" w:color="auto" w:fill="auto"/>
          </w:tcPr>
          <w:p w:rsidR="00F54B2C" w:rsidRPr="0033036C" w:rsidRDefault="00F54B2C" w:rsidP="00F54B2C">
            <w:pPr>
              <w:tabs>
                <w:tab w:val="left" w:pos="540"/>
              </w:tabs>
              <w:spacing w:before="120" w:after="0" w:line="240" w:lineRule="auto"/>
              <w:jc w:val="center"/>
              <w:rPr>
                <w:rFonts w:ascii="Arial" w:eastAsia="Times New Roman" w:hAnsi="Arial" w:cs="Arial"/>
                <w:b/>
                <w:sz w:val="20"/>
                <w:szCs w:val="26"/>
                <w:lang w:val="nl-NL"/>
              </w:rPr>
            </w:pPr>
            <w:r w:rsidRPr="0033036C">
              <w:rPr>
                <w:rFonts w:ascii="Arial" w:eastAsia="Times New Roman" w:hAnsi="Arial" w:cs="Arial"/>
                <w:b/>
                <w:sz w:val="20"/>
                <w:szCs w:val="26"/>
                <w:lang w:val="nl-NL"/>
              </w:rPr>
              <w:t>30/0</w:t>
            </w:r>
            <w:r w:rsidR="00DE53B6" w:rsidRPr="0033036C">
              <w:rPr>
                <w:rFonts w:ascii="Arial" w:eastAsia="Times New Roman" w:hAnsi="Arial" w:cs="Arial"/>
                <w:b/>
                <w:sz w:val="20"/>
                <w:szCs w:val="26"/>
                <w:lang w:val="nl-NL"/>
              </w:rPr>
              <w:t>9</w:t>
            </w:r>
            <w:r w:rsidRPr="0033036C">
              <w:rPr>
                <w:rFonts w:ascii="Arial" w:eastAsia="Times New Roman" w:hAnsi="Arial" w:cs="Arial"/>
                <w:b/>
                <w:sz w:val="20"/>
                <w:szCs w:val="26"/>
                <w:lang w:val="nl-NL"/>
              </w:rPr>
              <w:t>/2015</w:t>
            </w:r>
          </w:p>
          <w:p w:rsidR="00F54B2C" w:rsidRPr="0033036C" w:rsidRDefault="00F54B2C" w:rsidP="00F54B2C">
            <w:pPr>
              <w:tabs>
                <w:tab w:val="left" w:pos="540"/>
              </w:tabs>
              <w:spacing w:before="120" w:after="0" w:line="240" w:lineRule="auto"/>
              <w:jc w:val="center"/>
              <w:rPr>
                <w:rFonts w:ascii="Arial" w:eastAsia="Times New Roman" w:hAnsi="Arial" w:cs="Arial"/>
                <w:b/>
                <w:sz w:val="20"/>
                <w:szCs w:val="26"/>
                <w:lang w:val="nl-NL"/>
              </w:rPr>
            </w:pPr>
            <w:r w:rsidRPr="0033036C">
              <w:rPr>
                <w:rFonts w:ascii="Arial" w:eastAsia="Times New Roman" w:hAnsi="Arial" w:cs="Arial"/>
                <w:b/>
                <w:sz w:val="20"/>
                <w:szCs w:val="26"/>
                <w:lang w:val="nl-NL"/>
              </w:rPr>
              <w:t xml:space="preserve"> (%)</w:t>
            </w:r>
          </w:p>
        </w:tc>
        <w:tc>
          <w:tcPr>
            <w:tcW w:w="820" w:type="pct"/>
            <w:shd w:val="clear" w:color="auto" w:fill="auto"/>
          </w:tcPr>
          <w:p w:rsidR="00F54B2C" w:rsidRPr="0033036C" w:rsidRDefault="00F54B2C" w:rsidP="00F54B2C">
            <w:pPr>
              <w:tabs>
                <w:tab w:val="left" w:pos="540"/>
              </w:tabs>
              <w:spacing w:before="120" w:after="0" w:line="240" w:lineRule="auto"/>
              <w:jc w:val="center"/>
              <w:rPr>
                <w:rFonts w:ascii="Arial" w:eastAsia="Times New Roman" w:hAnsi="Arial" w:cs="Arial"/>
                <w:b/>
                <w:sz w:val="20"/>
                <w:szCs w:val="26"/>
                <w:lang w:val="nl-NL"/>
              </w:rPr>
            </w:pPr>
            <w:r w:rsidRPr="0033036C">
              <w:rPr>
                <w:rFonts w:ascii="Arial" w:eastAsia="Times New Roman" w:hAnsi="Arial" w:cs="Arial"/>
                <w:b/>
                <w:sz w:val="20"/>
                <w:szCs w:val="26"/>
                <w:lang w:val="nl-NL"/>
              </w:rPr>
              <w:t>30/0</w:t>
            </w:r>
            <w:r w:rsidR="00DE53B6" w:rsidRPr="0033036C">
              <w:rPr>
                <w:rFonts w:ascii="Arial" w:eastAsia="Times New Roman" w:hAnsi="Arial" w:cs="Arial"/>
                <w:b/>
                <w:sz w:val="20"/>
                <w:szCs w:val="26"/>
                <w:lang w:val="nl-NL"/>
              </w:rPr>
              <w:t>9</w:t>
            </w:r>
            <w:r w:rsidRPr="0033036C">
              <w:rPr>
                <w:rFonts w:ascii="Arial" w:eastAsia="Times New Roman" w:hAnsi="Arial" w:cs="Arial"/>
                <w:b/>
                <w:sz w:val="20"/>
                <w:szCs w:val="26"/>
                <w:lang w:val="nl-NL"/>
              </w:rPr>
              <w:t>/2014</w:t>
            </w:r>
          </w:p>
          <w:p w:rsidR="00F54B2C" w:rsidRPr="0033036C" w:rsidRDefault="00F54B2C" w:rsidP="00F54B2C">
            <w:pPr>
              <w:tabs>
                <w:tab w:val="left" w:pos="540"/>
              </w:tabs>
              <w:spacing w:before="120" w:after="0" w:line="240" w:lineRule="auto"/>
              <w:jc w:val="center"/>
              <w:rPr>
                <w:rFonts w:ascii="Arial" w:eastAsia="Times New Roman" w:hAnsi="Arial" w:cs="Arial"/>
                <w:b/>
                <w:sz w:val="20"/>
                <w:szCs w:val="26"/>
                <w:lang w:val="nl-NL"/>
              </w:rPr>
            </w:pPr>
            <w:r w:rsidRPr="0033036C">
              <w:rPr>
                <w:rFonts w:ascii="Arial" w:eastAsia="Times New Roman" w:hAnsi="Arial" w:cs="Arial"/>
                <w:b/>
                <w:sz w:val="20"/>
                <w:szCs w:val="26"/>
                <w:lang w:val="nl-NL"/>
              </w:rPr>
              <w:t xml:space="preserve"> (%)</w:t>
            </w:r>
          </w:p>
        </w:tc>
        <w:tc>
          <w:tcPr>
            <w:tcW w:w="965" w:type="pct"/>
            <w:shd w:val="clear" w:color="auto" w:fill="auto"/>
          </w:tcPr>
          <w:p w:rsidR="00F54B2C" w:rsidRPr="0033036C" w:rsidRDefault="00F54B2C" w:rsidP="00F54B2C">
            <w:pPr>
              <w:tabs>
                <w:tab w:val="left" w:pos="540"/>
              </w:tabs>
              <w:spacing w:before="120" w:after="0" w:line="240" w:lineRule="auto"/>
              <w:jc w:val="center"/>
              <w:rPr>
                <w:rFonts w:ascii="Arial" w:eastAsia="Times New Roman" w:hAnsi="Arial" w:cs="Arial"/>
                <w:b/>
                <w:sz w:val="20"/>
                <w:szCs w:val="26"/>
                <w:lang w:val="nl-NL"/>
              </w:rPr>
            </w:pPr>
            <w:r w:rsidRPr="0033036C">
              <w:rPr>
                <w:rFonts w:ascii="Arial" w:eastAsia="Times New Roman" w:hAnsi="Arial" w:cs="Arial"/>
                <w:b/>
                <w:sz w:val="20"/>
                <w:szCs w:val="26"/>
                <w:lang w:val="nl-NL"/>
              </w:rPr>
              <w:t>30/0</w:t>
            </w:r>
            <w:r w:rsidR="00DE53B6" w:rsidRPr="0033036C">
              <w:rPr>
                <w:rFonts w:ascii="Arial" w:eastAsia="Times New Roman" w:hAnsi="Arial" w:cs="Arial"/>
                <w:b/>
                <w:sz w:val="20"/>
                <w:szCs w:val="26"/>
                <w:lang w:val="nl-NL"/>
              </w:rPr>
              <w:t>9</w:t>
            </w:r>
            <w:r w:rsidRPr="0033036C">
              <w:rPr>
                <w:rFonts w:ascii="Arial" w:eastAsia="Times New Roman" w:hAnsi="Arial" w:cs="Arial"/>
                <w:b/>
                <w:sz w:val="20"/>
                <w:szCs w:val="26"/>
                <w:lang w:val="nl-NL"/>
              </w:rPr>
              <w:t>/2013</w:t>
            </w:r>
          </w:p>
          <w:p w:rsidR="00F54B2C" w:rsidRPr="0033036C" w:rsidRDefault="00F54B2C" w:rsidP="00F54B2C">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 xml:space="preserve"> (%)</w:t>
            </w:r>
          </w:p>
        </w:tc>
      </w:tr>
      <w:tr w:rsidR="0060532E" w:rsidRPr="0033036C" w:rsidTr="00F54B2C">
        <w:tc>
          <w:tcPr>
            <w:tcW w:w="1628" w:type="pct"/>
            <w:shd w:val="clear" w:color="auto" w:fill="auto"/>
          </w:tcPr>
          <w:p w:rsidR="0060532E" w:rsidRPr="0033036C" w:rsidRDefault="0060532E" w:rsidP="003201B7">
            <w:pPr>
              <w:tabs>
                <w:tab w:val="left" w:pos="540"/>
              </w:tabs>
              <w:spacing w:before="120" w:after="0" w:line="240" w:lineRule="auto"/>
              <w:rPr>
                <w:rFonts w:ascii="Arial" w:eastAsia="Times New Roman" w:hAnsi="Arial" w:cs="Arial"/>
                <w:sz w:val="20"/>
                <w:szCs w:val="26"/>
                <w:lang w:val="nl-NL"/>
              </w:rPr>
            </w:pPr>
            <w:r w:rsidRPr="0033036C">
              <w:rPr>
                <w:rFonts w:ascii="Arial" w:eastAsia="Times New Roman" w:hAnsi="Arial" w:cs="Arial"/>
                <w:sz w:val="20"/>
                <w:szCs w:val="26"/>
                <w:lang w:val="nl-NL"/>
              </w:rPr>
              <w:t>Tỷ lệ tăng trưởng (%)/01 đơn vị CCQ</w:t>
            </w:r>
          </w:p>
        </w:tc>
        <w:tc>
          <w:tcPr>
            <w:tcW w:w="767" w:type="pct"/>
            <w:shd w:val="clear" w:color="auto" w:fill="auto"/>
          </w:tcPr>
          <w:p w:rsidR="0060532E" w:rsidRPr="0033036C" w:rsidRDefault="00DE53B6" w:rsidP="003201B7">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30.3</w:t>
            </w:r>
          </w:p>
        </w:tc>
        <w:tc>
          <w:tcPr>
            <w:tcW w:w="820" w:type="pct"/>
            <w:shd w:val="clear" w:color="auto" w:fill="auto"/>
          </w:tcPr>
          <w:p w:rsidR="0060532E" w:rsidRPr="0033036C" w:rsidRDefault="00DE53B6" w:rsidP="003201B7">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-3.1</w:t>
            </w:r>
          </w:p>
        </w:tc>
        <w:tc>
          <w:tcPr>
            <w:tcW w:w="820" w:type="pct"/>
            <w:shd w:val="clear" w:color="auto" w:fill="auto"/>
          </w:tcPr>
          <w:p w:rsidR="0060532E" w:rsidRPr="0033036C" w:rsidRDefault="00DE53B6" w:rsidP="003201B7">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25.3</w:t>
            </w:r>
          </w:p>
        </w:tc>
        <w:tc>
          <w:tcPr>
            <w:tcW w:w="965" w:type="pct"/>
            <w:shd w:val="clear" w:color="auto" w:fill="auto"/>
          </w:tcPr>
          <w:p w:rsidR="0060532E" w:rsidRPr="0033036C" w:rsidRDefault="00DE53B6" w:rsidP="003201B7">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34.7</w:t>
            </w:r>
          </w:p>
        </w:tc>
      </w:tr>
    </w:tbl>
    <w:p w:rsidR="0060532E" w:rsidRPr="0033036C" w:rsidRDefault="0060532E" w:rsidP="0060532E">
      <w:pPr>
        <w:shd w:val="clear" w:color="auto" w:fill="FFFFFF"/>
        <w:tabs>
          <w:tab w:val="left" w:pos="540"/>
        </w:tabs>
        <w:spacing w:before="120" w:after="0" w:line="240" w:lineRule="auto"/>
        <w:rPr>
          <w:rFonts w:ascii="Arial" w:hAnsi="Arial" w:cs="Arial"/>
          <w:i/>
          <w:sz w:val="20"/>
          <w:szCs w:val="26"/>
          <w:lang w:val="nl-NL"/>
        </w:rPr>
      </w:pPr>
      <w:r w:rsidRPr="0033036C">
        <w:rPr>
          <w:rFonts w:ascii="Arial" w:hAnsi="Arial" w:cs="Arial"/>
          <w:i/>
          <w:sz w:val="20"/>
          <w:szCs w:val="26"/>
          <w:lang w:val="nl-NL"/>
        </w:rPr>
        <w:t>Ghi chú: Số liệu tăng trưởng cần phải phản ánh theo thời điểm có tính so sánh. Ví dụ tại thời điểm 31/12 thì các số liệu của các năm đưa vào biểu phải đảm bảo có tính so sánh là đều tại 31/12 hàng năm.</w:t>
      </w:r>
    </w:p>
    <w:p w:rsidR="0060532E" w:rsidRPr="0033036C" w:rsidRDefault="0060532E" w:rsidP="0060532E">
      <w:pPr>
        <w:shd w:val="clear" w:color="auto" w:fill="FFFFFF"/>
        <w:tabs>
          <w:tab w:val="left" w:pos="540"/>
        </w:tabs>
        <w:spacing w:before="120" w:after="0" w:line="240" w:lineRule="auto"/>
        <w:rPr>
          <w:rFonts w:ascii="Arial" w:hAnsi="Arial" w:cs="Arial"/>
          <w:b/>
          <w:sz w:val="20"/>
          <w:szCs w:val="26"/>
          <w:lang w:val="nl-NL"/>
        </w:rPr>
      </w:pPr>
      <w:r w:rsidRPr="0033036C">
        <w:rPr>
          <w:rFonts w:ascii="Arial" w:hAnsi="Arial" w:cs="Arial"/>
          <w:b/>
          <w:sz w:val="20"/>
          <w:szCs w:val="26"/>
          <w:lang w:val="nl-NL"/>
        </w:rPr>
        <w:t>III. Mô tả thị trường trong kỳ:</w:t>
      </w:r>
    </w:p>
    <w:p w:rsidR="00A80087" w:rsidRPr="0033036C" w:rsidRDefault="00A80087" w:rsidP="00A80087">
      <w:pPr>
        <w:shd w:val="clear" w:color="auto" w:fill="FFFFFF"/>
        <w:tabs>
          <w:tab w:val="left" w:pos="540"/>
        </w:tabs>
        <w:spacing w:before="120" w:after="0" w:line="240" w:lineRule="auto"/>
        <w:rPr>
          <w:rFonts w:ascii="Arial" w:hAnsi="Arial" w:cs="Arial"/>
          <w:b/>
          <w:sz w:val="20"/>
          <w:szCs w:val="20"/>
        </w:rPr>
      </w:pPr>
      <w:r w:rsidRPr="0033036C">
        <w:rPr>
          <w:rFonts w:ascii="Arial" w:hAnsi="Arial" w:cs="Arial"/>
          <w:b/>
          <w:sz w:val="20"/>
          <w:szCs w:val="20"/>
        </w:rPr>
        <w:t>.1</w:t>
      </w:r>
      <w:r w:rsidRPr="0033036C">
        <w:rPr>
          <w:rFonts w:ascii="Arial" w:hAnsi="Arial" w:cs="Arial"/>
          <w:b/>
          <w:sz w:val="20"/>
          <w:szCs w:val="20"/>
        </w:rPr>
        <w:tab/>
        <w:t>Tăng trưởng GDP quý III/2016</w:t>
      </w:r>
    </w:p>
    <w:p w:rsidR="00A80087" w:rsidRPr="0033036C" w:rsidRDefault="00A80087" w:rsidP="00A80087">
      <w:pPr>
        <w:shd w:val="clear" w:color="auto" w:fill="FFFFFF"/>
        <w:tabs>
          <w:tab w:val="left" w:pos="540"/>
        </w:tabs>
        <w:spacing w:before="120" w:after="0" w:line="240" w:lineRule="auto"/>
        <w:rPr>
          <w:rFonts w:ascii="Arial" w:hAnsi="Arial" w:cs="Arial"/>
          <w:sz w:val="20"/>
          <w:szCs w:val="20"/>
        </w:rPr>
      </w:pPr>
      <w:r w:rsidRPr="0033036C">
        <w:rPr>
          <w:rFonts w:ascii="Arial" w:hAnsi="Arial" w:cs="Arial"/>
          <w:sz w:val="20"/>
          <w:szCs w:val="20"/>
        </w:rPr>
        <w:t xml:space="preserve">Tăng trưởng GDP cho quý 3 đạt 6,4% so với quý trước đó, nguyên nhân cho mức tăng trưởng thấp hơn kế hoạch chủ yếu do tăng trưởng của sản xuất nông nghiệp và khai khoáng (do giá dầu thấp) đã kéo lùi sự tăng trưởng chung. Tuy nhiên mức tăng trưởng GDP quý 3 đã xác nhận xu hướng phục hồi của tốc độ tăng trưởng qua các quý. Tuy nhiên, số liệu tăng trưởng GDP quý 3 cho thấy mục tiêu tăng trưởng GDP 6,7% cho cả năm trở nên khó khăn hơn bao giờ hết. Để đạt được mực tiêu tăng trưởng 6,7% cho cả năm, tăng trưởng GDP quý 4 2016 cần đạt mức 7,7%, là mức tăng trưởng quý cao hơn đáng kể so với mức tăng trưởng trong quý 4 các năm gần đây (2014: 6,8%; 2015: 7%). Chính phủ đã công bố các biện pháp thúc đẩy tăng trưởng trong quý 4 2016, trong đó có thể nhận thấy rõ </w:t>
      </w:r>
      <w:proofErr w:type="gramStart"/>
      <w:r w:rsidRPr="0033036C">
        <w:rPr>
          <w:rFonts w:ascii="Arial" w:hAnsi="Arial" w:cs="Arial"/>
          <w:sz w:val="20"/>
          <w:szCs w:val="20"/>
        </w:rPr>
        <w:t>rệt  nhất</w:t>
      </w:r>
      <w:proofErr w:type="gramEnd"/>
      <w:r w:rsidRPr="0033036C">
        <w:rPr>
          <w:rFonts w:ascii="Arial" w:hAnsi="Arial" w:cs="Arial"/>
          <w:sz w:val="20"/>
          <w:szCs w:val="20"/>
        </w:rPr>
        <w:t xml:space="preserve"> là việc điều chỉnh giảm lãi suất huy động của các ngân hàng thương mại lớn. Dự kiến tăng trưởng GDP quý 4 2016 sẽ được thúc đẩy bởi việc gia tăng giải ngân vốn đầu tư nhà nước và vốn đầu tư trực tiếp nước ngoài. Bên cạnh đó tiêu dùng trong nước tăng ổn định và gia tăng đáng kể lượng khách du lịch nước ngoài cũng thúc đấy GDP quý 4 2016 tăng trưởng tốt hơn. Dự báo cho thấy tăng trưởng GDP quý 4 2016 có thể đạt mức 6,8%-7%, tương ứng với mức tăng trưởng cho cả năm 2016 từ 6,2% tới 6,3%. Đây cũng là mục tiêu hướng tới của chính phủ khi cho rằng tăng trưởng GDP cả năm 2016 sẽ cao hơn mức 6%.</w:t>
      </w:r>
    </w:p>
    <w:p w:rsidR="00A80087" w:rsidRPr="0033036C" w:rsidRDefault="00A80087" w:rsidP="00A80087">
      <w:pPr>
        <w:shd w:val="clear" w:color="auto" w:fill="FFFFFF"/>
        <w:tabs>
          <w:tab w:val="left" w:pos="540"/>
        </w:tabs>
        <w:spacing w:before="120" w:after="0" w:line="240" w:lineRule="auto"/>
        <w:rPr>
          <w:rFonts w:ascii="Arial" w:hAnsi="Arial" w:cs="Arial"/>
          <w:b/>
          <w:sz w:val="20"/>
          <w:szCs w:val="20"/>
        </w:rPr>
      </w:pPr>
      <w:r w:rsidRPr="0033036C">
        <w:rPr>
          <w:rFonts w:ascii="Arial" w:hAnsi="Arial" w:cs="Arial"/>
          <w:b/>
          <w:sz w:val="20"/>
          <w:szCs w:val="20"/>
        </w:rPr>
        <w:t>3.2</w:t>
      </w:r>
      <w:r w:rsidRPr="0033036C">
        <w:rPr>
          <w:rFonts w:ascii="Arial" w:hAnsi="Arial" w:cs="Arial"/>
          <w:b/>
          <w:sz w:val="20"/>
          <w:szCs w:val="20"/>
        </w:rPr>
        <w:tab/>
        <w:t>Cán cân thanh toán tổng thể thặng dư cao</w:t>
      </w:r>
    </w:p>
    <w:p w:rsidR="00A80087" w:rsidRPr="0033036C" w:rsidRDefault="00A80087" w:rsidP="00A80087">
      <w:pPr>
        <w:shd w:val="clear" w:color="auto" w:fill="FFFFFF"/>
        <w:tabs>
          <w:tab w:val="left" w:pos="540"/>
        </w:tabs>
        <w:spacing w:before="120" w:after="0" w:line="240" w:lineRule="auto"/>
        <w:rPr>
          <w:rFonts w:ascii="Arial" w:hAnsi="Arial" w:cs="Arial"/>
          <w:sz w:val="20"/>
          <w:szCs w:val="20"/>
        </w:rPr>
      </w:pPr>
      <w:r w:rsidRPr="0033036C">
        <w:rPr>
          <w:rFonts w:ascii="Arial" w:hAnsi="Arial" w:cs="Arial"/>
          <w:sz w:val="20"/>
          <w:szCs w:val="20"/>
        </w:rPr>
        <w:t xml:space="preserve">Các số liệu từ Ngân hàng Nhà nước cho thấy cán cân thanh toán tổng thể của Việt Nam đạt mức dương 6,8 tỷ USD vào cuối tháng 6 năm 2016. Mức thặng dư này tăng mạnh so với mức dương 910 triệu USD vào thời điểm cuối năm 2015 và dương 3,6 tủ USD vào cuối quý 1 2016. Lý do cho việc tăng trưởng dương của cán cân thành toán tổng thể trong nửa đầu năm 2016 là việc đẩy mạnh giải ngân FDI, thặng </w:t>
      </w:r>
      <w:r w:rsidRPr="0033036C">
        <w:rPr>
          <w:rFonts w:ascii="Arial" w:hAnsi="Arial" w:cs="Arial"/>
          <w:sz w:val="20"/>
          <w:szCs w:val="20"/>
        </w:rPr>
        <w:lastRenderedPageBreak/>
        <w:t>dự thương mại và kiều hổi (xem chi tiết tại bản tin Vĩ mô VFM tháng 7 2016). Sau 9 tháng của năm 2016, FDI đã giải ngân được 11,02 tỷ USD, thăng dự thương mại 2,55 tỷ USD và lượng kiều hối chuyển về thành phố Hồ Chí Minh sau 8 tháng đạt 2,9 tỷ USD. Diễn biến cho thấy khả năng cán cân thanh toán tổng thể của Việt nam sẽ tiếp tục dương ở mức cao trong 6 tháng cuối năm 2016 khi các yếu tố tác động tới sự thay đổi của cán cân thanh toán vẫn đang biến động trong xu hướng tích cực. Dự kiến cả năm 2016, giá trị FDI giải ngân đạt mức 14,5 tỷ USD, lượng tiền kiều hối tiếp tục tăng ở mức 4,5% so với năm 2015 đạt 12,8 tỷ USD và cán cân thương mại tiếp tục dương. Việc duy trì được cán cân thanh toán tổng thể dương sẽ hỗ trợ Ngân hàng Nhà nước trong việc phát huy tối đa công cụ chính sách tiền tệ để ổn định kinh tế vĩ mô, duy trì chính sách tiền tệ nới lỏng như trong giai đoạn 9 tháng đầu năm 2016 </w:t>
      </w:r>
    </w:p>
    <w:p w:rsidR="00A80087" w:rsidRPr="0033036C" w:rsidRDefault="00A80087" w:rsidP="00A80087">
      <w:pPr>
        <w:shd w:val="clear" w:color="auto" w:fill="FFFFFF"/>
        <w:tabs>
          <w:tab w:val="left" w:pos="540"/>
        </w:tabs>
        <w:spacing w:before="120" w:after="0" w:line="240" w:lineRule="auto"/>
        <w:rPr>
          <w:rFonts w:ascii="Arial" w:hAnsi="Arial" w:cs="Arial"/>
          <w:b/>
          <w:sz w:val="20"/>
          <w:szCs w:val="20"/>
        </w:rPr>
      </w:pPr>
    </w:p>
    <w:p w:rsidR="00A80087" w:rsidRPr="0033036C" w:rsidRDefault="00A80087" w:rsidP="00A80087">
      <w:pPr>
        <w:shd w:val="clear" w:color="auto" w:fill="FFFFFF"/>
        <w:tabs>
          <w:tab w:val="left" w:pos="540"/>
        </w:tabs>
        <w:spacing w:before="120" w:after="0" w:line="240" w:lineRule="auto"/>
        <w:rPr>
          <w:rFonts w:ascii="Arial" w:hAnsi="Arial" w:cs="Arial"/>
          <w:b/>
          <w:sz w:val="20"/>
          <w:szCs w:val="20"/>
        </w:rPr>
      </w:pPr>
      <w:r w:rsidRPr="0033036C">
        <w:rPr>
          <w:rFonts w:ascii="Arial" w:hAnsi="Arial" w:cs="Arial"/>
          <w:b/>
          <w:sz w:val="20"/>
          <w:szCs w:val="20"/>
        </w:rPr>
        <w:t>BÁO CÁO CỦA CÔNG TY QUẢN LÝ QUỸ (tiếp theo)</w:t>
      </w:r>
    </w:p>
    <w:p w:rsidR="00A80087" w:rsidRPr="0033036C" w:rsidRDefault="00A80087" w:rsidP="00A80087">
      <w:pPr>
        <w:shd w:val="clear" w:color="auto" w:fill="FFFFFF"/>
        <w:tabs>
          <w:tab w:val="left" w:pos="540"/>
        </w:tabs>
        <w:spacing w:before="120" w:after="0" w:line="240" w:lineRule="auto"/>
        <w:rPr>
          <w:rFonts w:ascii="Arial" w:hAnsi="Arial" w:cs="Arial"/>
          <w:b/>
          <w:sz w:val="20"/>
          <w:szCs w:val="20"/>
        </w:rPr>
      </w:pPr>
      <w:r w:rsidRPr="0033036C">
        <w:rPr>
          <w:rFonts w:ascii="Arial" w:hAnsi="Arial" w:cs="Arial"/>
          <w:b/>
          <w:sz w:val="20"/>
          <w:szCs w:val="20"/>
        </w:rPr>
        <w:t>3</w:t>
      </w:r>
      <w:r w:rsidRPr="0033036C">
        <w:rPr>
          <w:rFonts w:ascii="Arial" w:hAnsi="Arial" w:cs="Arial"/>
          <w:b/>
          <w:sz w:val="20"/>
          <w:szCs w:val="20"/>
        </w:rPr>
        <w:tab/>
        <w:t>MÔ TẢ THỊ TRƯỜNG TRONG KỲ (tiếp theo)</w:t>
      </w:r>
    </w:p>
    <w:p w:rsidR="00A80087" w:rsidRPr="0033036C" w:rsidRDefault="00A80087" w:rsidP="00A80087">
      <w:pPr>
        <w:shd w:val="clear" w:color="auto" w:fill="FFFFFF"/>
        <w:tabs>
          <w:tab w:val="left" w:pos="540"/>
        </w:tabs>
        <w:spacing w:before="120" w:after="0" w:line="240" w:lineRule="auto"/>
        <w:rPr>
          <w:rFonts w:ascii="Arial" w:hAnsi="Arial" w:cs="Arial"/>
          <w:b/>
          <w:sz w:val="20"/>
          <w:szCs w:val="20"/>
        </w:rPr>
      </w:pPr>
      <w:r w:rsidRPr="0033036C">
        <w:rPr>
          <w:rFonts w:ascii="Arial" w:hAnsi="Arial" w:cs="Arial"/>
          <w:b/>
          <w:sz w:val="20"/>
          <w:szCs w:val="20"/>
        </w:rPr>
        <w:t>3.3</w:t>
      </w:r>
      <w:r w:rsidRPr="0033036C">
        <w:rPr>
          <w:rFonts w:ascii="Arial" w:hAnsi="Arial" w:cs="Arial"/>
          <w:b/>
          <w:sz w:val="20"/>
          <w:szCs w:val="20"/>
        </w:rPr>
        <w:tab/>
        <w:t>Sản xuất công nghiệp tăng trưởng ổn định</w:t>
      </w:r>
    </w:p>
    <w:p w:rsidR="00A80087" w:rsidRPr="0033036C" w:rsidRDefault="00A80087" w:rsidP="00A80087">
      <w:pPr>
        <w:shd w:val="clear" w:color="auto" w:fill="FFFFFF"/>
        <w:tabs>
          <w:tab w:val="left" w:pos="540"/>
        </w:tabs>
        <w:spacing w:before="120" w:after="0" w:line="240" w:lineRule="auto"/>
        <w:rPr>
          <w:rFonts w:ascii="Arial" w:hAnsi="Arial" w:cs="Arial"/>
          <w:sz w:val="20"/>
          <w:szCs w:val="20"/>
        </w:rPr>
      </w:pPr>
      <w:r w:rsidRPr="0033036C">
        <w:rPr>
          <w:rFonts w:ascii="Arial" w:hAnsi="Arial" w:cs="Arial"/>
          <w:sz w:val="20"/>
          <w:szCs w:val="20"/>
        </w:rPr>
        <w:t xml:space="preserve">Sản xuất công nghiệp vẫn duy trì được xu hướng tăng trưởng ổn định từ đầu năm. Số liệu chỉ số PMI công bố cho tháng 9 2016 đã tăng từ mức 52,2 (tháng 8) lên 52,9. Như vậy chỉ số PMI đã tăng liệu tục trong cả 3 tháng của quý 3 2016 và xu hướng tăng đã được củng cố rõ ràng với việc số lượng đơn đặt hàng tăng 10 tháng liên tiếp, gia tăng mạng việc tuyển dụng công nhân, tăng giá đầu ra lần đầu tiên sau bốn tháng. Khảo sát của IHS Markit cũng cho thấy sự lạc quan của các công ty sản xuất đối với việc sản xuất công nghiệp sẽ tiếp tục tăng trưởng trong các tháng sắp tới. Theo công bố của Tổng cục thống kê, chỉ số công nghiệp tháng 9 tăng 7,6% so với cùng kỳ năm trước, cao hơn mức tăng trong tháng 8 (7,5%), sau 9 tháng chỉ số sản xuất công nghiệp tăng 7,4% (mức tăng 9 tháng năm 2015 là 9,9%). Tuy nhiên nguyên nhân chính làm suy giảm tăng của chỉ số sản xuất toàn ngành công nghiệp trong 9 tháng đầu năm 2016 là sự suy giảm đột biến của ngành khai khoáng (giảm 4,1% so với cùng kỳ năm trước, làm giảm 0,9% mức tăng trưởng chung) do tác động của giá dầu. Ngành công nghiệp chế biến, chế tạo (là ngành thu hút chủ yếu FDI trong năm 2016) có tốc độ tăng trưởng cao, đạt 10,4% so với cùng kỳ năm trước. Dự kiến tốc độ tăng trưởng sản xuất công nghiệp sẽ tăng nhẹ trong quý 4 2016. </w:t>
      </w:r>
    </w:p>
    <w:p w:rsidR="00A80087" w:rsidRPr="0033036C" w:rsidRDefault="00A80087" w:rsidP="00A80087">
      <w:pPr>
        <w:shd w:val="clear" w:color="auto" w:fill="FFFFFF"/>
        <w:tabs>
          <w:tab w:val="left" w:pos="540"/>
        </w:tabs>
        <w:spacing w:before="120" w:after="0" w:line="240" w:lineRule="auto"/>
        <w:rPr>
          <w:rFonts w:ascii="Arial" w:hAnsi="Arial" w:cs="Arial"/>
          <w:b/>
          <w:sz w:val="20"/>
          <w:szCs w:val="20"/>
        </w:rPr>
      </w:pPr>
      <w:r w:rsidRPr="0033036C">
        <w:rPr>
          <w:rFonts w:ascii="Arial" w:hAnsi="Arial" w:cs="Arial"/>
          <w:b/>
          <w:sz w:val="20"/>
          <w:szCs w:val="20"/>
        </w:rPr>
        <w:t>3.4</w:t>
      </w:r>
      <w:r w:rsidRPr="0033036C">
        <w:rPr>
          <w:rFonts w:ascii="Arial" w:hAnsi="Arial" w:cs="Arial"/>
          <w:b/>
          <w:sz w:val="20"/>
          <w:szCs w:val="20"/>
        </w:rPr>
        <w:tab/>
        <w:t>Chính sách tiền tệ phát huy hiệu quả</w:t>
      </w:r>
    </w:p>
    <w:p w:rsidR="00A80087" w:rsidRPr="0033036C" w:rsidRDefault="00A80087" w:rsidP="00A80087">
      <w:pPr>
        <w:shd w:val="clear" w:color="auto" w:fill="FFFFFF"/>
        <w:tabs>
          <w:tab w:val="left" w:pos="540"/>
        </w:tabs>
        <w:spacing w:before="120" w:after="0" w:line="240" w:lineRule="auto"/>
        <w:rPr>
          <w:rFonts w:ascii="Arial" w:hAnsi="Arial" w:cs="Arial"/>
          <w:b/>
          <w:sz w:val="20"/>
          <w:szCs w:val="20"/>
        </w:rPr>
      </w:pPr>
      <w:r w:rsidRPr="0033036C">
        <w:rPr>
          <w:rFonts w:ascii="Arial" w:hAnsi="Arial" w:cs="Arial"/>
          <w:sz w:val="20"/>
          <w:szCs w:val="20"/>
        </w:rPr>
        <w:t>Trong 9 tháng đầu năm 2016, công cụ chủ yếu được Chính phủ sử dụng để điều tiết kinh tế vĩ mô là chính sách tiền tệ. Chính sách tài khóa đã không được sử dụng do Chính phủ không còn khoảng trống cho việc sử dụng công cụ này khi ngân sách đang thâm hụt ở mức tối đa được phép và vay nợ đã tiếp cận mức trần được Quốc hội cho phép. Tuy nhiên công cụ chính sách tiền tệ đã phát huy tối đa hiệu quả và mang lại sự ổn định cho nền kinh tế. Chính sách tỷ giá trung tâm được áp dụng từ 1/1/2016 và việc SBV thực hiện tốt vai trò người mua bán cuối cùng trên thị trường ngoại tệ đã ổn định tỷ giá VND-USD. Việc SBV mua vào 10,7 tỷ USD trong 9 tháng đầu năm đưa vào dự trữ đã làm thanh khoản thị trường liên ngân hàng được cải thiện rõ rệt. Chính sách này của SBV đã được nhiều mục đích bao gồm việc duy trì lãi suất cho vay ổn định ở mức thấp so với các năm trước và tạo sự ổn định cần thiết trên thị trường liên ngân hàng phục vụ cho việc tái cơ cấu các ngân hàng yếu. Tình hình hiện tại cho thấy chính sách tiền tệ sẽ tiếp tục là công cụ chính của chính phủ khi công cụ tài khóa chưa lấy lại được sức mạnh cần thiết. Với việc gia tăng bán tài sản, nguồn vốn đầu tư sẽ tiếp tục được cải thiện trong năm 2017 và là cơ sở cho việc sử dụng các chính sách tài khóa. Trong 6 tháng tới, các chính</w:t>
      </w:r>
      <w:r w:rsidRPr="0033036C">
        <w:rPr>
          <w:rFonts w:ascii="Arial" w:hAnsi="Arial" w:cs="Arial"/>
          <w:b/>
          <w:sz w:val="20"/>
          <w:szCs w:val="20"/>
        </w:rPr>
        <w:t xml:space="preserve"> </w:t>
      </w:r>
      <w:r w:rsidRPr="0033036C">
        <w:rPr>
          <w:rFonts w:ascii="Arial" w:hAnsi="Arial" w:cs="Arial"/>
          <w:sz w:val="20"/>
          <w:szCs w:val="20"/>
        </w:rPr>
        <w:t>sách tiền tệ sẽ tiếp tục duy trì như trong 9 tháng đầu năm 2016 và tiếp tuc phát huy hiệu quả.  </w:t>
      </w:r>
    </w:p>
    <w:p w:rsidR="0060532E" w:rsidRPr="0033036C" w:rsidRDefault="0060532E" w:rsidP="00A80087">
      <w:pPr>
        <w:shd w:val="clear" w:color="auto" w:fill="FFFFFF"/>
        <w:tabs>
          <w:tab w:val="left" w:pos="540"/>
        </w:tabs>
        <w:spacing w:before="120" w:after="0" w:line="240" w:lineRule="auto"/>
        <w:rPr>
          <w:rFonts w:ascii="Arial" w:hAnsi="Arial" w:cs="Arial"/>
          <w:sz w:val="20"/>
          <w:szCs w:val="26"/>
          <w:lang w:val="nl-NL"/>
        </w:rPr>
      </w:pPr>
      <w:r w:rsidRPr="0033036C">
        <w:rPr>
          <w:rFonts w:ascii="Arial" w:hAnsi="Arial" w:cs="Arial"/>
          <w:b/>
          <w:sz w:val="20"/>
          <w:szCs w:val="26"/>
          <w:lang w:val="nl-NL"/>
        </w:rPr>
        <w:t>IV. Chi tiết các chỉ tiêu hoạt động của quỹ</w:t>
      </w:r>
      <w:r w:rsidRPr="0033036C">
        <w:rPr>
          <w:rFonts w:ascii="Arial" w:hAnsi="Arial" w:cs="Arial"/>
          <w:sz w:val="20"/>
          <w:szCs w:val="26"/>
          <w:lang w:val="nl-NL"/>
        </w:rPr>
        <w:t>:</w:t>
      </w:r>
    </w:p>
    <w:p w:rsidR="0060532E" w:rsidRPr="0033036C" w:rsidRDefault="0060532E" w:rsidP="0060532E">
      <w:pPr>
        <w:shd w:val="clear" w:color="auto" w:fill="FFFFFF"/>
        <w:tabs>
          <w:tab w:val="left" w:pos="540"/>
        </w:tabs>
        <w:spacing w:before="120" w:after="0" w:line="240" w:lineRule="auto"/>
        <w:rPr>
          <w:rFonts w:ascii="Arial" w:hAnsi="Arial" w:cs="Arial"/>
          <w:b/>
          <w:sz w:val="20"/>
          <w:szCs w:val="26"/>
          <w:lang w:val="nl-NL"/>
        </w:rPr>
      </w:pPr>
      <w:r w:rsidRPr="0033036C">
        <w:rPr>
          <w:rFonts w:ascii="Arial" w:hAnsi="Arial" w:cs="Arial"/>
          <w:b/>
          <w:sz w:val="20"/>
          <w:szCs w:val="26"/>
          <w:lang w:val="nl-NL"/>
        </w:rPr>
        <w:t>4.1. Số liệu chi tiết hoạt động của Quỹ</w:t>
      </w:r>
    </w:p>
    <w:tbl>
      <w:tblPr>
        <w:tblW w:w="93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3414"/>
        <w:gridCol w:w="1916"/>
        <w:gridCol w:w="1916"/>
        <w:gridCol w:w="2108"/>
      </w:tblGrid>
      <w:tr w:rsidR="0060532E" w:rsidRPr="0033036C" w:rsidTr="00DD289D">
        <w:tc>
          <w:tcPr>
            <w:tcW w:w="1825" w:type="pct"/>
            <w:shd w:val="clear" w:color="auto" w:fill="auto"/>
            <w:vAlign w:val="center"/>
          </w:tcPr>
          <w:p w:rsidR="0060532E" w:rsidRPr="0033036C" w:rsidRDefault="0060532E" w:rsidP="003201B7">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Chỉ tiêu</w:t>
            </w:r>
          </w:p>
        </w:tc>
        <w:tc>
          <w:tcPr>
            <w:tcW w:w="1024" w:type="pct"/>
            <w:shd w:val="clear" w:color="auto" w:fill="auto"/>
            <w:vAlign w:val="center"/>
          </w:tcPr>
          <w:p w:rsidR="0060532E" w:rsidRPr="0033036C" w:rsidRDefault="0060532E" w:rsidP="003201B7">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1 năm đến thời điểm báo cáo (%)</w:t>
            </w:r>
          </w:p>
        </w:tc>
        <w:tc>
          <w:tcPr>
            <w:tcW w:w="1024" w:type="pct"/>
            <w:shd w:val="clear" w:color="auto" w:fill="auto"/>
            <w:vAlign w:val="center"/>
          </w:tcPr>
          <w:p w:rsidR="0060532E" w:rsidRPr="0033036C" w:rsidRDefault="0060532E" w:rsidP="003201B7">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3 năm gần nhất tính đến thời điểm báo cáo (%)</w:t>
            </w:r>
          </w:p>
        </w:tc>
        <w:tc>
          <w:tcPr>
            <w:tcW w:w="1127" w:type="pct"/>
            <w:shd w:val="clear" w:color="auto" w:fill="auto"/>
            <w:vAlign w:val="center"/>
          </w:tcPr>
          <w:p w:rsidR="0060532E" w:rsidRPr="0033036C" w:rsidRDefault="0060532E" w:rsidP="003201B7">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Từ khi thành lập đến thời điểm báo cáo (%)</w:t>
            </w:r>
          </w:p>
        </w:tc>
      </w:tr>
      <w:tr w:rsidR="0060532E" w:rsidRPr="0033036C" w:rsidTr="00DD289D">
        <w:tc>
          <w:tcPr>
            <w:tcW w:w="1825" w:type="pct"/>
            <w:shd w:val="clear" w:color="auto" w:fill="auto"/>
            <w:vAlign w:val="center"/>
          </w:tcPr>
          <w:p w:rsidR="0060532E" w:rsidRPr="0033036C" w:rsidRDefault="0060532E" w:rsidP="003201B7">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A</w:t>
            </w:r>
          </w:p>
        </w:tc>
        <w:tc>
          <w:tcPr>
            <w:tcW w:w="1024" w:type="pct"/>
            <w:shd w:val="clear" w:color="auto" w:fill="auto"/>
            <w:vAlign w:val="center"/>
          </w:tcPr>
          <w:p w:rsidR="0060532E" w:rsidRPr="0033036C" w:rsidRDefault="0060532E" w:rsidP="003201B7">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1</w:t>
            </w:r>
          </w:p>
        </w:tc>
        <w:tc>
          <w:tcPr>
            <w:tcW w:w="1024" w:type="pct"/>
            <w:shd w:val="clear" w:color="auto" w:fill="auto"/>
            <w:vAlign w:val="center"/>
          </w:tcPr>
          <w:p w:rsidR="0060532E" w:rsidRPr="0033036C" w:rsidRDefault="0060532E" w:rsidP="003201B7">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2</w:t>
            </w:r>
          </w:p>
        </w:tc>
        <w:tc>
          <w:tcPr>
            <w:tcW w:w="1127" w:type="pct"/>
            <w:shd w:val="clear" w:color="auto" w:fill="auto"/>
            <w:vAlign w:val="center"/>
          </w:tcPr>
          <w:p w:rsidR="0060532E" w:rsidRPr="0033036C" w:rsidRDefault="0060532E" w:rsidP="003201B7">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3</w:t>
            </w:r>
          </w:p>
        </w:tc>
      </w:tr>
      <w:tr w:rsidR="00A447F1" w:rsidRPr="0033036C" w:rsidTr="00DD289D">
        <w:tc>
          <w:tcPr>
            <w:tcW w:w="1825" w:type="pct"/>
            <w:shd w:val="clear" w:color="auto" w:fill="auto"/>
            <w:vAlign w:val="center"/>
          </w:tcPr>
          <w:p w:rsidR="00A447F1" w:rsidRPr="0033036C" w:rsidRDefault="00A447F1" w:rsidP="00A447F1">
            <w:pPr>
              <w:tabs>
                <w:tab w:val="left" w:pos="540"/>
              </w:tabs>
              <w:spacing w:before="120" w:after="0" w:line="240" w:lineRule="auto"/>
              <w:rPr>
                <w:rFonts w:ascii="Arial" w:eastAsia="Times New Roman" w:hAnsi="Arial" w:cs="Arial"/>
                <w:sz w:val="20"/>
                <w:szCs w:val="26"/>
                <w:lang w:val="nl-NL"/>
              </w:rPr>
            </w:pPr>
            <w:r w:rsidRPr="0033036C">
              <w:rPr>
                <w:rFonts w:ascii="Arial" w:eastAsia="Times New Roman" w:hAnsi="Arial" w:cs="Arial"/>
                <w:sz w:val="20"/>
                <w:szCs w:val="26"/>
                <w:lang w:val="nl-NL"/>
              </w:rPr>
              <w:t>Tăng trưởng thu nhập/1 đơn vị CCQ</w:t>
            </w:r>
          </w:p>
        </w:tc>
        <w:tc>
          <w:tcPr>
            <w:tcW w:w="1024" w:type="pct"/>
            <w:shd w:val="clear" w:color="auto" w:fill="auto"/>
            <w:vAlign w:val="center"/>
          </w:tcPr>
          <w:p w:rsidR="009056AB" w:rsidRPr="0033036C" w:rsidRDefault="009056AB" w:rsidP="009056AB">
            <w:pPr>
              <w:spacing w:after="0" w:line="240" w:lineRule="auto"/>
              <w:jc w:val="center"/>
              <w:rPr>
                <w:rFonts w:ascii="Times New Roman" w:eastAsia="Times New Roman" w:hAnsi="Times New Roman"/>
              </w:rPr>
            </w:pPr>
            <w:r w:rsidRPr="0033036C">
              <w:t>-25.61%</w:t>
            </w:r>
          </w:p>
          <w:p w:rsidR="00A447F1" w:rsidRPr="0033036C" w:rsidRDefault="00A447F1" w:rsidP="00A447F1">
            <w:pPr>
              <w:spacing w:after="0" w:line="240" w:lineRule="auto"/>
              <w:jc w:val="center"/>
              <w:rPr>
                <w:rFonts w:eastAsia="Times New Roman"/>
                <w:color w:val="000000"/>
              </w:rPr>
            </w:pPr>
          </w:p>
        </w:tc>
        <w:tc>
          <w:tcPr>
            <w:tcW w:w="1024" w:type="pct"/>
            <w:shd w:val="clear" w:color="auto" w:fill="auto"/>
            <w:vAlign w:val="center"/>
          </w:tcPr>
          <w:p w:rsidR="00743354" w:rsidRPr="0033036C" w:rsidRDefault="00743354" w:rsidP="00743354">
            <w:pPr>
              <w:spacing w:after="0" w:line="240" w:lineRule="auto"/>
              <w:jc w:val="center"/>
              <w:rPr>
                <w:rFonts w:ascii="Times New Roman" w:eastAsia="Times New Roman" w:hAnsi="Times New Roman"/>
              </w:rPr>
            </w:pPr>
            <w:r w:rsidRPr="0033036C">
              <w:t>-39.54%</w:t>
            </w:r>
          </w:p>
          <w:p w:rsidR="00A447F1" w:rsidRPr="0033036C" w:rsidRDefault="00A447F1" w:rsidP="00A447F1">
            <w:pPr>
              <w:jc w:val="center"/>
              <w:rPr>
                <w:color w:val="000000"/>
              </w:rPr>
            </w:pPr>
          </w:p>
        </w:tc>
        <w:tc>
          <w:tcPr>
            <w:tcW w:w="1127" w:type="pct"/>
            <w:shd w:val="clear" w:color="auto" w:fill="auto"/>
            <w:vAlign w:val="center"/>
          </w:tcPr>
          <w:p w:rsidR="00743354" w:rsidRPr="0033036C" w:rsidRDefault="00743354" w:rsidP="00743354">
            <w:pPr>
              <w:spacing w:after="0" w:line="240" w:lineRule="auto"/>
              <w:jc w:val="center"/>
              <w:rPr>
                <w:rFonts w:ascii="Times New Roman" w:eastAsia="Times New Roman" w:hAnsi="Times New Roman"/>
              </w:rPr>
            </w:pPr>
            <w:r w:rsidRPr="0033036C">
              <w:t>-1125.84%</w:t>
            </w:r>
          </w:p>
          <w:p w:rsidR="00A447F1" w:rsidRPr="0033036C" w:rsidRDefault="00A447F1" w:rsidP="00A447F1">
            <w:pPr>
              <w:jc w:val="center"/>
              <w:rPr>
                <w:color w:val="000000"/>
              </w:rPr>
            </w:pPr>
          </w:p>
        </w:tc>
      </w:tr>
      <w:tr w:rsidR="00A447F1" w:rsidRPr="0033036C" w:rsidTr="00DD289D">
        <w:tc>
          <w:tcPr>
            <w:tcW w:w="1825" w:type="pct"/>
            <w:shd w:val="clear" w:color="auto" w:fill="auto"/>
            <w:vAlign w:val="center"/>
          </w:tcPr>
          <w:p w:rsidR="00A447F1" w:rsidRPr="0033036C" w:rsidRDefault="00A447F1" w:rsidP="00A447F1">
            <w:pPr>
              <w:tabs>
                <w:tab w:val="left" w:pos="540"/>
              </w:tabs>
              <w:spacing w:before="120" w:after="0" w:line="240" w:lineRule="auto"/>
              <w:rPr>
                <w:rFonts w:ascii="Arial" w:eastAsia="Times New Roman" w:hAnsi="Arial" w:cs="Arial"/>
                <w:sz w:val="20"/>
                <w:szCs w:val="26"/>
                <w:lang w:val="nl-NL"/>
              </w:rPr>
            </w:pPr>
            <w:r w:rsidRPr="0033036C">
              <w:rPr>
                <w:rFonts w:ascii="Arial" w:eastAsia="Times New Roman" w:hAnsi="Arial" w:cs="Arial"/>
                <w:sz w:val="20"/>
                <w:szCs w:val="26"/>
                <w:lang w:val="nl-NL"/>
              </w:rPr>
              <w:lastRenderedPageBreak/>
              <w:t>Tăng trưởng Vốn/1 đơn vị CCQ</w:t>
            </w:r>
          </w:p>
        </w:tc>
        <w:tc>
          <w:tcPr>
            <w:tcW w:w="1024" w:type="pct"/>
            <w:shd w:val="clear" w:color="auto" w:fill="auto"/>
            <w:vAlign w:val="center"/>
          </w:tcPr>
          <w:p w:rsidR="00743354" w:rsidRPr="0033036C" w:rsidRDefault="00743354" w:rsidP="00743354">
            <w:pPr>
              <w:spacing w:after="0" w:line="240" w:lineRule="auto"/>
              <w:jc w:val="center"/>
              <w:rPr>
                <w:rFonts w:ascii="Times New Roman" w:eastAsia="Times New Roman" w:hAnsi="Times New Roman"/>
              </w:rPr>
            </w:pPr>
            <w:r w:rsidRPr="0033036C">
              <w:t>12912.92%</w:t>
            </w:r>
          </w:p>
          <w:p w:rsidR="00A447F1" w:rsidRPr="0033036C" w:rsidRDefault="00A447F1" w:rsidP="00A447F1">
            <w:pPr>
              <w:spacing w:after="0" w:line="240" w:lineRule="auto"/>
              <w:jc w:val="center"/>
              <w:rPr>
                <w:rFonts w:eastAsia="Times New Roman"/>
                <w:color w:val="000000"/>
              </w:rPr>
            </w:pPr>
          </w:p>
        </w:tc>
        <w:tc>
          <w:tcPr>
            <w:tcW w:w="1024" w:type="pct"/>
            <w:shd w:val="clear" w:color="auto" w:fill="auto"/>
            <w:vAlign w:val="center"/>
          </w:tcPr>
          <w:p w:rsidR="00743354" w:rsidRPr="0033036C" w:rsidRDefault="00743354" w:rsidP="00743354">
            <w:pPr>
              <w:spacing w:after="0" w:line="240" w:lineRule="auto"/>
              <w:jc w:val="center"/>
              <w:rPr>
                <w:rFonts w:ascii="Times New Roman" w:eastAsia="Times New Roman" w:hAnsi="Times New Roman"/>
              </w:rPr>
            </w:pPr>
            <w:r w:rsidRPr="0033036C">
              <w:t>-99.15%</w:t>
            </w:r>
          </w:p>
          <w:p w:rsidR="00A447F1" w:rsidRPr="0033036C" w:rsidRDefault="00A447F1" w:rsidP="00A447F1">
            <w:pPr>
              <w:jc w:val="center"/>
              <w:rPr>
                <w:color w:val="000000"/>
              </w:rPr>
            </w:pPr>
          </w:p>
        </w:tc>
        <w:tc>
          <w:tcPr>
            <w:tcW w:w="1127" w:type="pct"/>
            <w:shd w:val="clear" w:color="auto" w:fill="auto"/>
            <w:vAlign w:val="center"/>
          </w:tcPr>
          <w:p w:rsidR="00743354" w:rsidRPr="0033036C" w:rsidRDefault="00743354" w:rsidP="00743354">
            <w:pPr>
              <w:spacing w:after="0" w:line="240" w:lineRule="auto"/>
              <w:jc w:val="center"/>
              <w:rPr>
                <w:rFonts w:ascii="Times New Roman" w:eastAsia="Times New Roman" w:hAnsi="Times New Roman"/>
              </w:rPr>
            </w:pPr>
            <w:r w:rsidRPr="0033036C">
              <w:t>-38.90%</w:t>
            </w:r>
          </w:p>
          <w:p w:rsidR="00A447F1" w:rsidRPr="0033036C" w:rsidRDefault="00A447F1" w:rsidP="00A447F1">
            <w:pPr>
              <w:jc w:val="center"/>
              <w:rPr>
                <w:color w:val="000000"/>
              </w:rPr>
            </w:pPr>
          </w:p>
        </w:tc>
      </w:tr>
      <w:tr w:rsidR="00A447F1" w:rsidRPr="0033036C" w:rsidTr="00761A70">
        <w:tc>
          <w:tcPr>
            <w:tcW w:w="1825" w:type="pct"/>
            <w:shd w:val="clear" w:color="auto" w:fill="auto"/>
            <w:vAlign w:val="center"/>
          </w:tcPr>
          <w:p w:rsidR="00A447F1" w:rsidRPr="0033036C" w:rsidRDefault="00A447F1" w:rsidP="00A447F1">
            <w:pPr>
              <w:tabs>
                <w:tab w:val="left" w:pos="540"/>
              </w:tabs>
              <w:spacing w:before="120" w:after="0" w:line="240" w:lineRule="auto"/>
              <w:rPr>
                <w:rFonts w:ascii="Arial" w:eastAsia="Times New Roman" w:hAnsi="Arial" w:cs="Arial"/>
                <w:sz w:val="20"/>
                <w:szCs w:val="26"/>
                <w:lang w:val="nl-NL"/>
              </w:rPr>
            </w:pPr>
            <w:r w:rsidRPr="0033036C">
              <w:rPr>
                <w:rFonts w:ascii="Arial" w:eastAsia="Times New Roman" w:hAnsi="Arial" w:cs="Arial"/>
                <w:sz w:val="20"/>
                <w:szCs w:val="26"/>
                <w:lang w:val="nl-NL"/>
              </w:rPr>
              <w:t>Tổng tăng trưởng/1 đơn vị CCQ</w:t>
            </w:r>
          </w:p>
        </w:tc>
        <w:tc>
          <w:tcPr>
            <w:tcW w:w="1024" w:type="pct"/>
            <w:shd w:val="clear" w:color="auto" w:fill="auto"/>
            <w:vAlign w:val="center"/>
          </w:tcPr>
          <w:p w:rsidR="00A447F1" w:rsidRPr="0033036C" w:rsidRDefault="00761A70" w:rsidP="00761A70">
            <w:pPr>
              <w:spacing w:after="0" w:line="240" w:lineRule="auto"/>
              <w:jc w:val="center"/>
              <w:rPr>
                <w:rFonts w:eastAsia="Times New Roman"/>
                <w:color w:val="000000"/>
              </w:rPr>
            </w:pPr>
            <w:r w:rsidRPr="0033036C">
              <w:rPr>
                <w:rFonts w:eastAsia="Times New Roman"/>
                <w:color w:val="000000"/>
              </w:rPr>
              <w:t>30.3%</w:t>
            </w:r>
          </w:p>
        </w:tc>
        <w:tc>
          <w:tcPr>
            <w:tcW w:w="1024" w:type="pct"/>
            <w:shd w:val="clear" w:color="auto" w:fill="auto"/>
            <w:vAlign w:val="center"/>
          </w:tcPr>
          <w:p w:rsidR="00A447F1" w:rsidRPr="0033036C" w:rsidRDefault="00761A70" w:rsidP="00761A70">
            <w:pPr>
              <w:jc w:val="center"/>
              <w:rPr>
                <w:color w:val="000000"/>
              </w:rPr>
            </w:pPr>
            <w:r w:rsidRPr="0033036C">
              <w:rPr>
                <w:color w:val="000000"/>
              </w:rPr>
              <w:t>58.2%</w:t>
            </w:r>
          </w:p>
        </w:tc>
        <w:tc>
          <w:tcPr>
            <w:tcW w:w="1127" w:type="pct"/>
            <w:shd w:val="clear" w:color="auto" w:fill="auto"/>
            <w:vAlign w:val="center"/>
          </w:tcPr>
          <w:p w:rsidR="00A447F1" w:rsidRPr="0033036C" w:rsidRDefault="00761A70" w:rsidP="00761A70">
            <w:pPr>
              <w:jc w:val="center"/>
              <w:rPr>
                <w:color w:val="000000"/>
              </w:rPr>
            </w:pPr>
            <w:r w:rsidRPr="0033036C">
              <w:rPr>
                <w:color w:val="000000"/>
              </w:rPr>
              <w:t>51.5%</w:t>
            </w:r>
          </w:p>
        </w:tc>
      </w:tr>
      <w:tr w:rsidR="00A447F1" w:rsidRPr="0033036C" w:rsidTr="00761A70">
        <w:tc>
          <w:tcPr>
            <w:tcW w:w="1825" w:type="pct"/>
            <w:shd w:val="clear" w:color="auto" w:fill="auto"/>
            <w:vAlign w:val="center"/>
          </w:tcPr>
          <w:p w:rsidR="00A447F1" w:rsidRPr="0033036C" w:rsidRDefault="00A447F1" w:rsidP="00A447F1">
            <w:pPr>
              <w:tabs>
                <w:tab w:val="left" w:pos="540"/>
              </w:tabs>
              <w:spacing w:before="120" w:after="0" w:line="240" w:lineRule="auto"/>
              <w:rPr>
                <w:rFonts w:ascii="Arial" w:eastAsia="Times New Roman" w:hAnsi="Arial" w:cs="Arial"/>
                <w:sz w:val="20"/>
                <w:szCs w:val="26"/>
                <w:lang w:val="nl-NL"/>
              </w:rPr>
            </w:pPr>
            <w:r w:rsidRPr="0033036C">
              <w:rPr>
                <w:rFonts w:ascii="Arial" w:eastAsia="Times New Roman" w:hAnsi="Arial" w:cs="Arial"/>
                <w:sz w:val="20"/>
                <w:szCs w:val="26"/>
                <w:lang w:val="nl-NL"/>
              </w:rPr>
              <w:t>Tăng trưởng hàng năm(%)/1 đơn vị CCQ</w:t>
            </w:r>
          </w:p>
        </w:tc>
        <w:tc>
          <w:tcPr>
            <w:tcW w:w="1024" w:type="pct"/>
            <w:shd w:val="clear" w:color="auto" w:fill="auto"/>
            <w:vAlign w:val="center"/>
          </w:tcPr>
          <w:p w:rsidR="00A447F1" w:rsidRPr="0033036C" w:rsidRDefault="00761A70" w:rsidP="00761A70">
            <w:pPr>
              <w:spacing w:after="0" w:line="240" w:lineRule="auto"/>
              <w:jc w:val="center"/>
              <w:rPr>
                <w:rFonts w:eastAsia="Times New Roman"/>
                <w:color w:val="000000"/>
              </w:rPr>
            </w:pPr>
            <w:r w:rsidRPr="0033036C">
              <w:rPr>
                <w:rFonts w:eastAsia="Times New Roman"/>
                <w:color w:val="000000"/>
              </w:rPr>
              <w:t>30.3%</w:t>
            </w:r>
          </w:p>
        </w:tc>
        <w:tc>
          <w:tcPr>
            <w:tcW w:w="1024" w:type="pct"/>
            <w:shd w:val="clear" w:color="auto" w:fill="auto"/>
            <w:vAlign w:val="center"/>
          </w:tcPr>
          <w:p w:rsidR="00A447F1" w:rsidRPr="0033036C" w:rsidRDefault="00761A70" w:rsidP="00761A70">
            <w:pPr>
              <w:jc w:val="center"/>
              <w:rPr>
                <w:color w:val="000000"/>
              </w:rPr>
            </w:pPr>
            <w:r w:rsidRPr="0033036C">
              <w:rPr>
                <w:color w:val="000000"/>
              </w:rPr>
              <w:t>16.5%</w:t>
            </w:r>
          </w:p>
        </w:tc>
        <w:tc>
          <w:tcPr>
            <w:tcW w:w="1127" w:type="pct"/>
            <w:shd w:val="clear" w:color="auto" w:fill="auto"/>
            <w:vAlign w:val="center"/>
          </w:tcPr>
          <w:p w:rsidR="00A447F1" w:rsidRPr="0033036C" w:rsidRDefault="00761A70" w:rsidP="00761A70">
            <w:pPr>
              <w:jc w:val="center"/>
              <w:rPr>
                <w:color w:val="000000"/>
              </w:rPr>
            </w:pPr>
            <w:r w:rsidRPr="0033036C">
              <w:rPr>
                <w:color w:val="000000"/>
              </w:rPr>
              <w:t>4.9%</w:t>
            </w:r>
          </w:p>
        </w:tc>
      </w:tr>
      <w:tr w:rsidR="00F01849" w:rsidRPr="0033036C" w:rsidTr="00DD289D">
        <w:tc>
          <w:tcPr>
            <w:tcW w:w="1825" w:type="pct"/>
            <w:shd w:val="clear" w:color="auto" w:fill="auto"/>
            <w:vAlign w:val="center"/>
          </w:tcPr>
          <w:p w:rsidR="00F01849" w:rsidRPr="0033036C" w:rsidRDefault="00F01849" w:rsidP="00F01849">
            <w:pPr>
              <w:tabs>
                <w:tab w:val="left" w:pos="540"/>
              </w:tabs>
              <w:spacing w:before="120" w:after="0" w:line="240" w:lineRule="auto"/>
              <w:rPr>
                <w:rFonts w:ascii="Arial" w:eastAsia="Times New Roman" w:hAnsi="Arial" w:cs="Arial"/>
                <w:sz w:val="20"/>
                <w:szCs w:val="26"/>
                <w:lang w:val="nl-NL"/>
              </w:rPr>
            </w:pPr>
            <w:r w:rsidRPr="0033036C">
              <w:rPr>
                <w:rFonts w:ascii="Arial" w:eastAsia="Times New Roman" w:hAnsi="Arial" w:cs="Arial"/>
                <w:sz w:val="20"/>
                <w:szCs w:val="26"/>
                <w:lang w:val="nl-NL"/>
              </w:rPr>
              <w:t>Tăng trưởng của danh mục cơ cấu</w:t>
            </w:r>
          </w:p>
        </w:tc>
        <w:tc>
          <w:tcPr>
            <w:tcW w:w="1024" w:type="pct"/>
            <w:shd w:val="clear" w:color="auto" w:fill="auto"/>
            <w:vAlign w:val="center"/>
          </w:tcPr>
          <w:p w:rsidR="00F01849" w:rsidRPr="0033036C" w:rsidRDefault="00F01849" w:rsidP="00F01849">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Không có</w:t>
            </w:r>
          </w:p>
        </w:tc>
        <w:tc>
          <w:tcPr>
            <w:tcW w:w="1024" w:type="pct"/>
            <w:shd w:val="clear" w:color="auto" w:fill="auto"/>
            <w:vAlign w:val="center"/>
          </w:tcPr>
          <w:p w:rsidR="00F01849" w:rsidRPr="0033036C" w:rsidRDefault="00F01849" w:rsidP="00F01849">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Không có</w:t>
            </w:r>
          </w:p>
        </w:tc>
        <w:tc>
          <w:tcPr>
            <w:tcW w:w="1127" w:type="pct"/>
            <w:shd w:val="clear" w:color="auto" w:fill="auto"/>
            <w:vAlign w:val="center"/>
          </w:tcPr>
          <w:p w:rsidR="00F01849" w:rsidRPr="0033036C" w:rsidRDefault="00F01849" w:rsidP="00F01849">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Không có</w:t>
            </w:r>
          </w:p>
        </w:tc>
      </w:tr>
      <w:tr w:rsidR="00F01849" w:rsidRPr="0033036C" w:rsidTr="00DD289D">
        <w:tc>
          <w:tcPr>
            <w:tcW w:w="1825" w:type="pct"/>
            <w:shd w:val="clear" w:color="auto" w:fill="auto"/>
            <w:vAlign w:val="center"/>
          </w:tcPr>
          <w:p w:rsidR="00F01849" w:rsidRPr="0033036C" w:rsidRDefault="00F01849" w:rsidP="00F01849">
            <w:pPr>
              <w:tabs>
                <w:tab w:val="left" w:pos="540"/>
              </w:tabs>
              <w:spacing w:before="120" w:after="0" w:line="240" w:lineRule="auto"/>
              <w:rPr>
                <w:rFonts w:ascii="Arial" w:eastAsia="Times New Roman" w:hAnsi="Arial" w:cs="Arial"/>
                <w:sz w:val="20"/>
                <w:szCs w:val="26"/>
                <w:lang w:val="nl-NL"/>
              </w:rPr>
            </w:pPr>
            <w:r w:rsidRPr="0033036C">
              <w:rPr>
                <w:rFonts w:ascii="Arial" w:eastAsia="Times New Roman" w:hAnsi="Arial" w:cs="Arial"/>
                <w:sz w:val="20"/>
                <w:szCs w:val="26"/>
                <w:lang w:val="nl-NL"/>
              </w:rPr>
              <w:t>Thay đổi giá trị thị trường của 1 đơn vị CCQ</w:t>
            </w:r>
          </w:p>
        </w:tc>
        <w:tc>
          <w:tcPr>
            <w:tcW w:w="1024" w:type="pct"/>
            <w:shd w:val="clear" w:color="auto" w:fill="auto"/>
            <w:vAlign w:val="center"/>
          </w:tcPr>
          <w:p w:rsidR="00F01849" w:rsidRPr="0033036C" w:rsidRDefault="00F01849" w:rsidP="00F01849">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Không có</w:t>
            </w:r>
          </w:p>
        </w:tc>
        <w:tc>
          <w:tcPr>
            <w:tcW w:w="1024" w:type="pct"/>
            <w:shd w:val="clear" w:color="auto" w:fill="auto"/>
            <w:vAlign w:val="center"/>
          </w:tcPr>
          <w:p w:rsidR="00F01849" w:rsidRPr="0033036C" w:rsidRDefault="00F01849" w:rsidP="00F01849">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Không có</w:t>
            </w:r>
          </w:p>
        </w:tc>
        <w:tc>
          <w:tcPr>
            <w:tcW w:w="1127" w:type="pct"/>
            <w:shd w:val="clear" w:color="auto" w:fill="auto"/>
            <w:vAlign w:val="center"/>
          </w:tcPr>
          <w:p w:rsidR="00F01849" w:rsidRPr="0033036C" w:rsidRDefault="00F01849" w:rsidP="00F01849">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Không có</w:t>
            </w:r>
          </w:p>
        </w:tc>
      </w:tr>
    </w:tbl>
    <w:p w:rsidR="00443F6D" w:rsidRPr="0033036C" w:rsidRDefault="0060532E" w:rsidP="0060532E">
      <w:pPr>
        <w:shd w:val="clear" w:color="auto" w:fill="FFFFFF"/>
        <w:tabs>
          <w:tab w:val="left" w:pos="540"/>
        </w:tabs>
        <w:spacing w:before="120" w:after="0" w:line="240" w:lineRule="auto"/>
        <w:rPr>
          <w:rFonts w:ascii="Arial" w:hAnsi="Arial" w:cs="Arial"/>
          <w:sz w:val="20"/>
          <w:szCs w:val="26"/>
          <w:lang w:val="nl-NL"/>
        </w:rPr>
      </w:pPr>
      <w:r w:rsidRPr="0033036C">
        <w:rPr>
          <w:rFonts w:ascii="Arial" w:hAnsi="Arial" w:cs="Arial"/>
          <w:sz w:val="20"/>
          <w:szCs w:val="26"/>
          <w:lang w:val="nl-NL"/>
        </w:rPr>
        <w:t>● Vốn, Tổng tăng trưởng, Tăng trưởng hàng năm: Dựa trên tăng trưởng của giá trị tài sản ròng (NAV) trên 1 đơn vị chứng chỉ quỹ;</w:t>
      </w:r>
    </w:p>
    <w:p w:rsidR="0060532E" w:rsidRPr="0033036C" w:rsidRDefault="0060532E" w:rsidP="0060532E">
      <w:pPr>
        <w:shd w:val="clear" w:color="auto" w:fill="FFFFFF"/>
        <w:tabs>
          <w:tab w:val="left" w:pos="540"/>
        </w:tabs>
        <w:spacing w:before="120" w:after="0" w:line="240" w:lineRule="auto"/>
        <w:rPr>
          <w:rFonts w:ascii="Arial" w:hAnsi="Arial" w:cs="Arial"/>
          <w:sz w:val="20"/>
          <w:szCs w:val="26"/>
          <w:lang w:val="nl-NL"/>
        </w:rPr>
      </w:pPr>
      <w:r w:rsidRPr="0033036C">
        <w:rPr>
          <w:rFonts w:ascii="Arial" w:hAnsi="Arial" w:cs="Arial"/>
          <w:sz w:val="20"/>
          <w:szCs w:val="26"/>
          <w:lang w:val="nl-NL"/>
        </w:rPr>
        <w:t>● Chỉ số tham chiếu: Dựa trên giá công bố giao dịch cuối cùng ở thời điểm gần nhất.</w:t>
      </w:r>
    </w:p>
    <w:p w:rsidR="0060532E" w:rsidRPr="0033036C" w:rsidRDefault="0060532E" w:rsidP="0060532E">
      <w:pPr>
        <w:shd w:val="clear" w:color="auto" w:fill="FFFFFF"/>
        <w:tabs>
          <w:tab w:val="left" w:pos="540"/>
        </w:tabs>
        <w:spacing w:before="120" w:after="0" w:line="240" w:lineRule="auto"/>
        <w:rPr>
          <w:rFonts w:ascii="Arial" w:hAnsi="Arial" w:cs="Arial"/>
          <w:sz w:val="20"/>
          <w:szCs w:val="26"/>
          <w:lang w:val="nl-NL"/>
        </w:rPr>
      </w:pPr>
      <w:r w:rsidRPr="0033036C">
        <w:rPr>
          <w:rFonts w:ascii="Arial" w:hAnsi="Arial" w:cs="Arial"/>
          <w:sz w:val="20"/>
          <w:szCs w:val="26"/>
          <w:lang w:val="nl-NL"/>
        </w:rPr>
        <w:t>● Các số liệu trình bày phải được dựa vào kết quả của Báo cáo tài chính đã được soát xét hoặc kiểm toán. Trường hợp dựa trên báo cáo tài chính chưa được soát xét phải công bố thông tin rõ ràng.</w:t>
      </w:r>
    </w:p>
    <w:p w:rsidR="002E1D12" w:rsidRPr="0033036C" w:rsidRDefault="0060532E" w:rsidP="002E1D12">
      <w:pPr>
        <w:shd w:val="clear" w:color="auto" w:fill="FFFFFF"/>
        <w:tabs>
          <w:tab w:val="left" w:pos="540"/>
        </w:tabs>
        <w:spacing w:before="120" w:after="0" w:line="240" w:lineRule="auto"/>
        <w:rPr>
          <w:rFonts w:ascii="Arial" w:hAnsi="Arial" w:cs="Arial"/>
          <w:sz w:val="20"/>
          <w:szCs w:val="26"/>
          <w:lang w:val="nl-NL"/>
        </w:rPr>
      </w:pPr>
      <w:r w:rsidRPr="0033036C">
        <w:rPr>
          <w:rFonts w:ascii="Arial" w:hAnsi="Arial" w:cs="Arial"/>
          <w:sz w:val="20"/>
          <w:szCs w:val="26"/>
          <w:lang w:val="nl-NL"/>
        </w:rPr>
        <w:t>● Biểu đồ tăng trưởng hàng tháng của Quỹ trong 3 năm gần nhất.</w:t>
      </w:r>
    </w:p>
    <w:p w:rsidR="00BB24AF" w:rsidRPr="0033036C" w:rsidRDefault="00761A70" w:rsidP="002E1D12">
      <w:pPr>
        <w:shd w:val="clear" w:color="auto" w:fill="FFFFFF"/>
        <w:tabs>
          <w:tab w:val="left" w:pos="540"/>
        </w:tabs>
        <w:spacing w:before="120" w:after="0" w:line="240" w:lineRule="auto"/>
        <w:rPr>
          <w:rFonts w:ascii="Arial" w:hAnsi="Arial" w:cs="Arial"/>
          <w:sz w:val="20"/>
          <w:szCs w:val="26"/>
          <w:lang w:val="nl-NL"/>
        </w:rPr>
      </w:pPr>
      <w:r w:rsidRPr="0033036C">
        <w:rPr>
          <w:noProof/>
        </w:rPr>
        <w:drawing>
          <wp:inline distT="0" distB="0" distL="0" distR="0" wp14:anchorId="558956DC" wp14:editId="14F5EB77">
            <wp:extent cx="5943600" cy="2931795"/>
            <wp:effectExtent l="0" t="0" r="0" b="190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2E1D12" w:rsidRPr="0033036C" w:rsidRDefault="002E1D12" w:rsidP="002E1D12">
      <w:pPr>
        <w:shd w:val="clear" w:color="auto" w:fill="FFFFFF"/>
        <w:tabs>
          <w:tab w:val="left" w:pos="540"/>
        </w:tabs>
        <w:spacing w:before="120" w:after="0" w:line="240" w:lineRule="auto"/>
        <w:rPr>
          <w:rFonts w:ascii="Arial" w:hAnsi="Arial" w:cs="Arial"/>
          <w:sz w:val="20"/>
          <w:szCs w:val="26"/>
          <w:lang w:val="nl-NL"/>
        </w:rPr>
      </w:pPr>
    </w:p>
    <w:p w:rsidR="0060532E" w:rsidRPr="0033036C" w:rsidRDefault="0060532E" w:rsidP="0060532E">
      <w:pPr>
        <w:shd w:val="clear" w:color="auto" w:fill="FFFFFF"/>
        <w:tabs>
          <w:tab w:val="left" w:pos="540"/>
        </w:tabs>
        <w:spacing w:before="120" w:after="0" w:line="240" w:lineRule="auto"/>
        <w:rPr>
          <w:rFonts w:ascii="Arial" w:hAnsi="Arial" w:cs="Arial"/>
          <w:sz w:val="20"/>
          <w:szCs w:val="26"/>
          <w:lang w:val="nl-NL"/>
        </w:rPr>
      </w:pPr>
      <w:r w:rsidRPr="0033036C">
        <w:rPr>
          <w:rFonts w:ascii="Arial" w:hAnsi="Arial" w:cs="Arial"/>
          <w:sz w:val="20"/>
          <w:szCs w:val="26"/>
          <w:lang w:val="nl-NL"/>
        </w:rPr>
        <w:t>● Thay đổi giá trị tài sản ròng.</w:t>
      </w:r>
    </w:p>
    <w:tbl>
      <w:tblPr>
        <w:tblW w:w="93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3325"/>
        <w:gridCol w:w="1899"/>
        <w:gridCol w:w="1906"/>
        <w:gridCol w:w="2224"/>
      </w:tblGrid>
      <w:tr w:rsidR="0060532E" w:rsidRPr="0033036C" w:rsidTr="0078231B">
        <w:tc>
          <w:tcPr>
            <w:tcW w:w="1777" w:type="pct"/>
            <w:shd w:val="clear" w:color="auto" w:fill="auto"/>
          </w:tcPr>
          <w:p w:rsidR="0060532E" w:rsidRPr="0033036C" w:rsidRDefault="0060532E" w:rsidP="003201B7">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Chỉ tiêu</w:t>
            </w:r>
          </w:p>
        </w:tc>
        <w:tc>
          <w:tcPr>
            <w:tcW w:w="1015" w:type="pct"/>
            <w:shd w:val="clear" w:color="auto" w:fill="auto"/>
          </w:tcPr>
          <w:p w:rsidR="0060532E" w:rsidRPr="0033036C" w:rsidRDefault="00743354" w:rsidP="003201B7">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09/2016</w:t>
            </w:r>
          </w:p>
        </w:tc>
        <w:tc>
          <w:tcPr>
            <w:tcW w:w="1019" w:type="pct"/>
            <w:shd w:val="clear" w:color="auto" w:fill="auto"/>
          </w:tcPr>
          <w:p w:rsidR="0060532E" w:rsidRPr="0033036C" w:rsidRDefault="00743354" w:rsidP="003201B7">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09/2015</w:t>
            </w:r>
          </w:p>
        </w:tc>
        <w:tc>
          <w:tcPr>
            <w:tcW w:w="1189" w:type="pct"/>
            <w:shd w:val="clear" w:color="auto" w:fill="auto"/>
          </w:tcPr>
          <w:p w:rsidR="0060532E" w:rsidRPr="0033036C" w:rsidRDefault="0060532E" w:rsidP="003201B7">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Tỷ lệ thay đổi</w:t>
            </w:r>
          </w:p>
        </w:tc>
      </w:tr>
      <w:tr w:rsidR="0060532E" w:rsidRPr="0033036C" w:rsidTr="0078231B">
        <w:tc>
          <w:tcPr>
            <w:tcW w:w="1777" w:type="pct"/>
            <w:shd w:val="clear" w:color="auto" w:fill="auto"/>
          </w:tcPr>
          <w:p w:rsidR="0060532E" w:rsidRPr="0033036C" w:rsidRDefault="0060532E" w:rsidP="003201B7">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A</w:t>
            </w:r>
          </w:p>
        </w:tc>
        <w:tc>
          <w:tcPr>
            <w:tcW w:w="1015" w:type="pct"/>
            <w:shd w:val="clear" w:color="auto" w:fill="auto"/>
          </w:tcPr>
          <w:p w:rsidR="0060532E" w:rsidRPr="0033036C" w:rsidRDefault="0060532E" w:rsidP="003201B7">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1</w:t>
            </w:r>
          </w:p>
        </w:tc>
        <w:tc>
          <w:tcPr>
            <w:tcW w:w="1019" w:type="pct"/>
            <w:shd w:val="clear" w:color="auto" w:fill="auto"/>
          </w:tcPr>
          <w:p w:rsidR="0060532E" w:rsidRPr="0033036C" w:rsidRDefault="0060532E" w:rsidP="003201B7">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2</w:t>
            </w:r>
          </w:p>
        </w:tc>
        <w:tc>
          <w:tcPr>
            <w:tcW w:w="1189" w:type="pct"/>
            <w:shd w:val="clear" w:color="auto" w:fill="auto"/>
          </w:tcPr>
          <w:p w:rsidR="0060532E" w:rsidRPr="0033036C" w:rsidRDefault="0060532E" w:rsidP="003201B7">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3=((1)-(2))/(2)</w:t>
            </w:r>
          </w:p>
        </w:tc>
      </w:tr>
      <w:tr w:rsidR="0078231B" w:rsidRPr="0033036C" w:rsidTr="0078231B">
        <w:tc>
          <w:tcPr>
            <w:tcW w:w="1777" w:type="pct"/>
            <w:shd w:val="clear" w:color="auto" w:fill="auto"/>
          </w:tcPr>
          <w:p w:rsidR="0078231B" w:rsidRPr="0033036C" w:rsidRDefault="0078231B" w:rsidP="0078231B">
            <w:pPr>
              <w:tabs>
                <w:tab w:val="left" w:pos="540"/>
              </w:tabs>
              <w:spacing w:before="120" w:after="0" w:line="240" w:lineRule="auto"/>
              <w:rPr>
                <w:rFonts w:ascii="Arial" w:eastAsia="Times New Roman" w:hAnsi="Arial" w:cs="Arial"/>
                <w:sz w:val="20"/>
                <w:szCs w:val="26"/>
                <w:lang w:val="nl-NL"/>
              </w:rPr>
            </w:pPr>
            <w:r w:rsidRPr="0033036C">
              <w:rPr>
                <w:rFonts w:ascii="Arial" w:eastAsia="Times New Roman" w:hAnsi="Arial" w:cs="Arial"/>
                <w:sz w:val="20"/>
                <w:szCs w:val="26"/>
                <w:lang w:val="nl-NL"/>
              </w:rPr>
              <w:t>Giá trị tài sản ròng (NAV) của Quỹ</w:t>
            </w:r>
          </w:p>
        </w:tc>
        <w:tc>
          <w:tcPr>
            <w:tcW w:w="1015" w:type="pct"/>
            <w:shd w:val="clear" w:color="auto" w:fill="auto"/>
          </w:tcPr>
          <w:p w:rsidR="00743354" w:rsidRPr="0033036C" w:rsidRDefault="00743354" w:rsidP="0033036C">
            <w:pPr>
              <w:spacing w:after="0" w:line="240" w:lineRule="auto"/>
              <w:jc w:val="center"/>
              <w:rPr>
                <w:rFonts w:ascii="Times New Roman" w:eastAsia="Times New Roman" w:hAnsi="Times New Roman"/>
                <w:color w:val="000000"/>
              </w:rPr>
            </w:pPr>
            <w:r w:rsidRPr="0033036C">
              <w:rPr>
                <w:color w:val="000000"/>
              </w:rPr>
              <w:t>363,735,550,880</w:t>
            </w:r>
          </w:p>
          <w:p w:rsidR="0078231B" w:rsidRPr="0033036C" w:rsidRDefault="0078231B" w:rsidP="0078231B">
            <w:pPr>
              <w:tabs>
                <w:tab w:val="left" w:pos="540"/>
              </w:tabs>
              <w:spacing w:before="120" w:after="0" w:line="240" w:lineRule="auto"/>
              <w:ind w:right="90"/>
              <w:jc w:val="right"/>
              <w:rPr>
                <w:rFonts w:ascii="Times New Roman" w:eastAsia="Times New Roman" w:hAnsi="Times New Roman"/>
                <w:lang w:val="nl-NL"/>
              </w:rPr>
            </w:pPr>
          </w:p>
        </w:tc>
        <w:tc>
          <w:tcPr>
            <w:tcW w:w="1019" w:type="pct"/>
            <w:shd w:val="clear" w:color="auto" w:fill="auto"/>
          </w:tcPr>
          <w:p w:rsidR="00743354" w:rsidRPr="0033036C" w:rsidRDefault="00743354" w:rsidP="0033036C">
            <w:pPr>
              <w:spacing w:after="0" w:line="240" w:lineRule="auto"/>
              <w:jc w:val="center"/>
              <w:rPr>
                <w:rFonts w:ascii="Times New Roman" w:eastAsia="Times New Roman" w:hAnsi="Times New Roman"/>
                <w:color w:val="000000"/>
              </w:rPr>
            </w:pPr>
            <w:r w:rsidRPr="0033036C">
              <w:rPr>
                <w:color w:val="000000"/>
              </w:rPr>
              <w:t>301,942,771,909</w:t>
            </w:r>
          </w:p>
          <w:p w:rsidR="0078231B" w:rsidRPr="0033036C" w:rsidRDefault="0078231B" w:rsidP="0078231B">
            <w:pPr>
              <w:tabs>
                <w:tab w:val="left" w:pos="540"/>
              </w:tabs>
              <w:spacing w:before="120" w:after="0" w:line="240" w:lineRule="auto"/>
              <w:ind w:right="90"/>
              <w:jc w:val="right"/>
              <w:rPr>
                <w:rFonts w:ascii="Times New Roman" w:eastAsia="Times New Roman" w:hAnsi="Times New Roman"/>
                <w:lang w:val="nl-NL"/>
              </w:rPr>
            </w:pPr>
          </w:p>
        </w:tc>
        <w:tc>
          <w:tcPr>
            <w:tcW w:w="1189" w:type="pct"/>
            <w:shd w:val="clear" w:color="auto" w:fill="auto"/>
          </w:tcPr>
          <w:p w:rsidR="00743354" w:rsidRPr="0033036C" w:rsidRDefault="00743354" w:rsidP="0033036C">
            <w:pPr>
              <w:spacing w:after="0" w:line="240" w:lineRule="auto"/>
              <w:jc w:val="center"/>
              <w:rPr>
                <w:rFonts w:ascii="Times New Roman" w:eastAsia="Times New Roman" w:hAnsi="Times New Roman"/>
                <w:color w:val="000000"/>
              </w:rPr>
            </w:pPr>
            <w:r w:rsidRPr="0033036C">
              <w:rPr>
                <w:color w:val="000000"/>
              </w:rPr>
              <w:t>20.47%</w:t>
            </w:r>
          </w:p>
          <w:p w:rsidR="0078231B" w:rsidRPr="0033036C" w:rsidRDefault="0078231B" w:rsidP="0078231B">
            <w:pPr>
              <w:tabs>
                <w:tab w:val="left" w:pos="540"/>
              </w:tabs>
              <w:spacing w:before="120" w:after="0" w:line="240" w:lineRule="auto"/>
              <w:ind w:right="90"/>
              <w:jc w:val="right"/>
              <w:rPr>
                <w:rFonts w:ascii="Times New Roman" w:eastAsia="Times New Roman" w:hAnsi="Times New Roman"/>
                <w:lang w:val="nl-NL"/>
              </w:rPr>
            </w:pPr>
          </w:p>
        </w:tc>
      </w:tr>
      <w:tr w:rsidR="0078231B" w:rsidRPr="0033036C" w:rsidTr="0078231B">
        <w:tc>
          <w:tcPr>
            <w:tcW w:w="1777" w:type="pct"/>
            <w:shd w:val="clear" w:color="auto" w:fill="auto"/>
          </w:tcPr>
          <w:p w:rsidR="0078231B" w:rsidRPr="0033036C" w:rsidRDefault="0078231B" w:rsidP="0078231B">
            <w:pPr>
              <w:tabs>
                <w:tab w:val="left" w:pos="540"/>
              </w:tabs>
              <w:spacing w:before="120" w:after="0" w:line="240" w:lineRule="auto"/>
              <w:rPr>
                <w:rFonts w:ascii="Arial" w:eastAsia="Times New Roman" w:hAnsi="Arial" w:cs="Arial"/>
                <w:sz w:val="20"/>
                <w:szCs w:val="26"/>
                <w:lang w:val="nl-NL"/>
              </w:rPr>
            </w:pPr>
            <w:r w:rsidRPr="0033036C">
              <w:rPr>
                <w:rFonts w:ascii="Arial" w:eastAsia="Times New Roman" w:hAnsi="Arial" w:cs="Arial"/>
                <w:sz w:val="20"/>
                <w:szCs w:val="26"/>
                <w:lang w:val="nl-NL"/>
              </w:rPr>
              <w:t>Giá trị tài sản ròng (NAV) trên 1 đơn vị CCQ</w:t>
            </w:r>
          </w:p>
        </w:tc>
        <w:tc>
          <w:tcPr>
            <w:tcW w:w="1015" w:type="pct"/>
            <w:shd w:val="clear" w:color="auto" w:fill="auto"/>
            <w:vAlign w:val="bottom"/>
          </w:tcPr>
          <w:p w:rsidR="00743354" w:rsidRPr="0033036C" w:rsidRDefault="0033036C" w:rsidP="00743354">
            <w:pPr>
              <w:spacing w:after="0" w:line="240" w:lineRule="auto"/>
              <w:jc w:val="right"/>
              <w:rPr>
                <w:rFonts w:ascii="Times New Roman" w:eastAsia="Times New Roman" w:hAnsi="Times New Roman"/>
                <w:color w:val="000000"/>
              </w:rPr>
            </w:pPr>
            <w:r>
              <w:rPr>
                <w:color w:val="000000"/>
              </w:rPr>
              <w:t xml:space="preserve">                        </w:t>
            </w:r>
            <w:r w:rsidR="00743354" w:rsidRPr="0033036C">
              <w:rPr>
                <w:color w:val="000000"/>
              </w:rPr>
              <w:t xml:space="preserve">13,150.42 </w:t>
            </w:r>
          </w:p>
          <w:p w:rsidR="0078231B" w:rsidRPr="0033036C" w:rsidRDefault="0078231B" w:rsidP="0078231B">
            <w:pPr>
              <w:tabs>
                <w:tab w:val="left" w:pos="540"/>
              </w:tabs>
              <w:spacing w:before="120" w:after="0" w:line="240" w:lineRule="auto"/>
              <w:ind w:right="90"/>
              <w:jc w:val="right"/>
              <w:rPr>
                <w:rFonts w:ascii="Times New Roman" w:eastAsia="Times New Roman" w:hAnsi="Times New Roman"/>
                <w:lang w:val="nl-NL"/>
              </w:rPr>
            </w:pPr>
          </w:p>
        </w:tc>
        <w:tc>
          <w:tcPr>
            <w:tcW w:w="1019" w:type="pct"/>
            <w:shd w:val="clear" w:color="auto" w:fill="auto"/>
            <w:vAlign w:val="bottom"/>
          </w:tcPr>
          <w:p w:rsidR="00743354" w:rsidRPr="0033036C" w:rsidRDefault="0033036C" w:rsidP="00743354">
            <w:pPr>
              <w:spacing w:after="0" w:line="240" w:lineRule="auto"/>
              <w:jc w:val="right"/>
              <w:rPr>
                <w:rFonts w:ascii="Times New Roman" w:eastAsia="Times New Roman" w:hAnsi="Times New Roman"/>
                <w:color w:val="000000"/>
              </w:rPr>
            </w:pPr>
            <w:r>
              <w:rPr>
                <w:color w:val="000000"/>
              </w:rPr>
              <w:t xml:space="preserve">                      </w:t>
            </w:r>
            <w:r w:rsidR="00743354" w:rsidRPr="0033036C">
              <w:rPr>
                <w:color w:val="000000"/>
              </w:rPr>
              <w:t xml:space="preserve">10,095.98 </w:t>
            </w:r>
          </w:p>
          <w:p w:rsidR="0078231B" w:rsidRPr="0033036C" w:rsidRDefault="0078231B" w:rsidP="0078231B">
            <w:pPr>
              <w:tabs>
                <w:tab w:val="left" w:pos="540"/>
              </w:tabs>
              <w:spacing w:before="120" w:after="0" w:line="240" w:lineRule="auto"/>
              <w:ind w:right="90"/>
              <w:jc w:val="right"/>
              <w:rPr>
                <w:rFonts w:ascii="Times New Roman" w:eastAsia="Times New Roman" w:hAnsi="Times New Roman"/>
                <w:lang w:val="nl-NL"/>
              </w:rPr>
            </w:pPr>
          </w:p>
        </w:tc>
        <w:tc>
          <w:tcPr>
            <w:tcW w:w="1189" w:type="pct"/>
            <w:shd w:val="clear" w:color="auto" w:fill="auto"/>
            <w:vAlign w:val="bottom"/>
          </w:tcPr>
          <w:p w:rsidR="00743354" w:rsidRPr="0033036C" w:rsidRDefault="00743354" w:rsidP="0033036C">
            <w:pPr>
              <w:spacing w:after="0" w:line="240" w:lineRule="auto"/>
              <w:jc w:val="center"/>
              <w:rPr>
                <w:rFonts w:ascii="Times New Roman" w:eastAsia="Times New Roman" w:hAnsi="Times New Roman"/>
                <w:color w:val="000000"/>
              </w:rPr>
            </w:pPr>
            <w:r w:rsidRPr="0033036C">
              <w:rPr>
                <w:color w:val="000000"/>
              </w:rPr>
              <w:t>30.25%</w:t>
            </w:r>
          </w:p>
          <w:p w:rsidR="0078231B" w:rsidRPr="0033036C" w:rsidRDefault="0078231B" w:rsidP="0078231B">
            <w:pPr>
              <w:tabs>
                <w:tab w:val="left" w:pos="540"/>
              </w:tabs>
              <w:spacing w:before="120" w:after="0" w:line="240" w:lineRule="auto"/>
              <w:ind w:right="90"/>
              <w:jc w:val="right"/>
              <w:rPr>
                <w:rFonts w:ascii="Times New Roman" w:eastAsia="Times New Roman" w:hAnsi="Times New Roman"/>
                <w:lang w:val="nl-NL"/>
              </w:rPr>
            </w:pPr>
          </w:p>
        </w:tc>
      </w:tr>
    </w:tbl>
    <w:p w:rsidR="0060532E" w:rsidRPr="0033036C" w:rsidRDefault="0060532E" w:rsidP="0060532E">
      <w:pPr>
        <w:shd w:val="clear" w:color="auto" w:fill="FFFFFF"/>
        <w:tabs>
          <w:tab w:val="left" w:pos="540"/>
        </w:tabs>
        <w:spacing w:before="120" w:after="0" w:line="240" w:lineRule="auto"/>
        <w:rPr>
          <w:rFonts w:ascii="Arial" w:hAnsi="Arial" w:cs="Arial"/>
          <w:sz w:val="20"/>
          <w:szCs w:val="26"/>
          <w:lang w:val="nl-NL"/>
        </w:rPr>
      </w:pPr>
      <w:r w:rsidRPr="0033036C">
        <w:rPr>
          <w:rFonts w:ascii="Arial" w:hAnsi="Arial" w:cs="Arial"/>
          <w:sz w:val="20"/>
          <w:szCs w:val="26"/>
          <w:lang w:val="nl-NL"/>
        </w:rPr>
        <w:lastRenderedPageBreak/>
        <w:t>Kèm theo thuyết minh về sự tăng giảm quy mô Quỹ, giá trị tài sản ròng (NAV) trên 1 đơn vị chứng chỉ quỹ và chỉ rõ nguyên nhân.</w:t>
      </w:r>
    </w:p>
    <w:p w:rsidR="002E1D12" w:rsidRPr="0033036C" w:rsidRDefault="002E1D12" w:rsidP="002E1D12">
      <w:pPr>
        <w:shd w:val="clear" w:color="auto" w:fill="FFFFFF"/>
        <w:tabs>
          <w:tab w:val="left" w:pos="540"/>
        </w:tabs>
        <w:spacing w:before="120" w:after="0" w:line="240" w:lineRule="auto"/>
        <w:rPr>
          <w:rFonts w:ascii="Arial" w:hAnsi="Arial" w:cs="Arial"/>
          <w:sz w:val="20"/>
          <w:szCs w:val="26"/>
          <w:lang w:val="nl-NL"/>
        </w:rPr>
      </w:pPr>
      <w:r w:rsidRPr="0033036C">
        <w:rPr>
          <w:rFonts w:ascii="Arial" w:hAnsi="Arial" w:cs="Arial"/>
          <w:sz w:val="20"/>
          <w:szCs w:val="26"/>
          <w:lang w:val="nl-NL"/>
        </w:rPr>
        <w:t>Trong giai đoạn 31/12/2015-30/0</w:t>
      </w:r>
      <w:r w:rsidR="00F975DA" w:rsidRPr="0033036C">
        <w:rPr>
          <w:rFonts w:ascii="Arial" w:hAnsi="Arial" w:cs="Arial"/>
          <w:sz w:val="20"/>
          <w:szCs w:val="26"/>
          <w:lang w:val="nl-NL"/>
        </w:rPr>
        <w:t>9</w:t>
      </w:r>
      <w:r w:rsidRPr="0033036C">
        <w:rPr>
          <w:rFonts w:ascii="Arial" w:hAnsi="Arial" w:cs="Arial"/>
          <w:sz w:val="20"/>
          <w:szCs w:val="26"/>
          <w:lang w:val="nl-NL"/>
        </w:rPr>
        <w:t>/2016, quỹ VFMVF</w:t>
      </w:r>
      <w:r w:rsidR="00C85FFA" w:rsidRPr="0033036C">
        <w:rPr>
          <w:rFonts w:ascii="Arial" w:hAnsi="Arial" w:cs="Arial"/>
          <w:sz w:val="20"/>
          <w:szCs w:val="26"/>
          <w:lang w:val="nl-NL"/>
        </w:rPr>
        <w:t>4 có</w:t>
      </w:r>
      <w:r w:rsidRPr="0033036C">
        <w:rPr>
          <w:rFonts w:ascii="Arial" w:hAnsi="Arial" w:cs="Arial"/>
          <w:sz w:val="20"/>
          <w:szCs w:val="26"/>
          <w:lang w:val="nl-NL"/>
        </w:rPr>
        <w:t xml:space="preserve"> giá trị tài sản ròng (NAV)  trên một chứng chỉ quỹ tăng trưởng </w:t>
      </w:r>
      <w:r w:rsidR="00F975DA" w:rsidRPr="0033036C">
        <w:rPr>
          <w:rFonts w:ascii="Arial" w:hAnsi="Arial" w:cs="Arial"/>
          <w:sz w:val="20"/>
          <w:szCs w:val="26"/>
          <w:lang w:val="nl-NL"/>
        </w:rPr>
        <w:t>22,18</w:t>
      </w:r>
      <w:r w:rsidRPr="0033036C">
        <w:rPr>
          <w:rFonts w:ascii="Arial" w:hAnsi="Arial" w:cs="Arial"/>
          <w:sz w:val="20"/>
          <w:szCs w:val="26"/>
          <w:lang w:val="nl-NL"/>
        </w:rPr>
        <w:t xml:space="preserve">% do lợi nhuận từ kết quả đầu tư và tăng trưởng của danh mục chứng khoán. Tổng giá trị tài sản ròng (NAV) tăng trưởng </w:t>
      </w:r>
      <w:r w:rsidR="00F975DA" w:rsidRPr="0033036C">
        <w:rPr>
          <w:rFonts w:ascii="Arial" w:hAnsi="Arial" w:cs="Arial"/>
          <w:sz w:val="20"/>
          <w:szCs w:val="26"/>
          <w:lang w:val="nl-NL"/>
        </w:rPr>
        <w:t>27,62</w:t>
      </w:r>
      <w:r w:rsidRPr="0033036C">
        <w:rPr>
          <w:rFonts w:ascii="Arial" w:hAnsi="Arial" w:cs="Arial"/>
          <w:sz w:val="20"/>
          <w:szCs w:val="26"/>
          <w:lang w:val="nl-NL"/>
        </w:rPr>
        <w:t xml:space="preserve">%, thấp hơn tăng trưởng của NAV/chứng chỉ quỹ do nhà đầu tư thực hiện </w:t>
      </w:r>
      <w:r w:rsidR="00F975DA" w:rsidRPr="0033036C">
        <w:rPr>
          <w:rFonts w:ascii="Arial" w:hAnsi="Arial" w:cs="Arial"/>
          <w:sz w:val="20"/>
          <w:szCs w:val="26"/>
          <w:lang w:val="nl-NL"/>
        </w:rPr>
        <w:t>mua vào chứng chỉ</w:t>
      </w:r>
      <w:r w:rsidRPr="0033036C">
        <w:rPr>
          <w:rFonts w:ascii="Arial" w:hAnsi="Arial" w:cs="Arial"/>
          <w:sz w:val="20"/>
          <w:szCs w:val="26"/>
          <w:lang w:val="nl-NL"/>
        </w:rPr>
        <w:t xml:space="preserve"> quỹ VFMVF</w:t>
      </w:r>
      <w:r w:rsidR="000869AB" w:rsidRPr="0033036C">
        <w:rPr>
          <w:rFonts w:ascii="Arial" w:hAnsi="Arial" w:cs="Arial"/>
          <w:sz w:val="20"/>
          <w:szCs w:val="26"/>
          <w:lang w:val="nl-NL"/>
        </w:rPr>
        <w:t>4</w:t>
      </w:r>
      <w:r w:rsidRPr="0033036C">
        <w:rPr>
          <w:rFonts w:ascii="Arial" w:hAnsi="Arial" w:cs="Arial"/>
          <w:sz w:val="20"/>
          <w:szCs w:val="26"/>
          <w:lang w:val="nl-NL"/>
        </w:rPr>
        <w:t xml:space="preserve"> </w:t>
      </w:r>
      <w:r w:rsidR="00F975DA" w:rsidRPr="0033036C">
        <w:rPr>
          <w:rFonts w:ascii="Arial" w:hAnsi="Arial" w:cs="Arial"/>
          <w:sz w:val="20"/>
          <w:szCs w:val="26"/>
          <w:lang w:val="nl-NL"/>
        </w:rPr>
        <w:t>khiến cho quỹ có tăng trưởng trong quy mô và tổng tài sản.</w:t>
      </w:r>
    </w:p>
    <w:p w:rsidR="002E1D12" w:rsidRPr="0033036C" w:rsidRDefault="002E1D12" w:rsidP="0060532E">
      <w:pPr>
        <w:shd w:val="clear" w:color="auto" w:fill="FFFFFF"/>
        <w:tabs>
          <w:tab w:val="left" w:pos="540"/>
        </w:tabs>
        <w:spacing w:before="120" w:after="0" w:line="240" w:lineRule="auto"/>
        <w:rPr>
          <w:rFonts w:ascii="Arial" w:hAnsi="Arial" w:cs="Arial"/>
          <w:sz w:val="20"/>
          <w:szCs w:val="26"/>
          <w:lang w:val="nl-NL"/>
        </w:rPr>
      </w:pPr>
    </w:p>
    <w:p w:rsidR="0060532E" w:rsidRPr="0033036C" w:rsidRDefault="0060532E" w:rsidP="0060532E">
      <w:pPr>
        <w:shd w:val="clear" w:color="auto" w:fill="FFFFFF"/>
        <w:tabs>
          <w:tab w:val="left" w:pos="540"/>
        </w:tabs>
        <w:spacing w:before="120" w:after="0" w:line="240" w:lineRule="auto"/>
        <w:rPr>
          <w:rFonts w:ascii="Arial" w:hAnsi="Arial" w:cs="Arial"/>
          <w:b/>
          <w:sz w:val="20"/>
          <w:szCs w:val="26"/>
          <w:lang w:val="nl-NL"/>
        </w:rPr>
      </w:pPr>
      <w:r w:rsidRPr="0033036C">
        <w:rPr>
          <w:rFonts w:ascii="Arial" w:hAnsi="Arial" w:cs="Arial"/>
          <w:b/>
          <w:sz w:val="20"/>
          <w:szCs w:val="26"/>
          <w:lang w:val="nl-NL"/>
        </w:rPr>
        <w:t>4.2. Thống kê về Nhà đầu tư nắm giữ Chứng chỉ quỹ tại thời điểm báo cáo (tại thời điểm gần nhất):</w:t>
      </w:r>
    </w:p>
    <w:tbl>
      <w:tblPr>
        <w:tblW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3137"/>
        <w:gridCol w:w="2075"/>
        <w:gridCol w:w="1998"/>
        <w:gridCol w:w="2144"/>
      </w:tblGrid>
      <w:tr w:rsidR="0060532E" w:rsidRPr="0033036C" w:rsidTr="003201B7">
        <w:tc>
          <w:tcPr>
            <w:tcW w:w="1677" w:type="pct"/>
            <w:shd w:val="clear" w:color="auto" w:fill="auto"/>
          </w:tcPr>
          <w:p w:rsidR="0060532E" w:rsidRPr="0033036C" w:rsidRDefault="0060532E" w:rsidP="003201B7">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Quy mô nắm giữ (Đơn vị)</w:t>
            </w:r>
          </w:p>
        </w:tc>
        <w:tc>
          <w:tcPr>
            <w:tcW w:w="1109" w:type="pct"/>
            <w:shd w:val="clear" w:color="auto" w:fill="auto"/>
          </w:tcPr>
          <w:p w:rsidR="0060532E" w:rsidRPr="0033036C" w:rsidRDefault="0060532E" w:rsidP="003201B7">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Số lượng Nhà đầu tư nắm giữ</w:t>
            </w:r>
          </w:p>
        </w:tc>
        <w:tc>
          <w:tcPr>
            <w:tcW w:w="1068" w:type="pct"/>
            <w:shd w:val="clear" w:color="auto" w:fill="auto"/>
          </w:tcPr>
          <w:p w:rsidR="0060532E" w:rsidRPr="0033036C" w:rsidRDefault="0060532E" w:rsidP="003201B7">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Số lượng đơn vị Chứng chỉ quỹ nắm giữ</w:t>
            </w:r>
          </w:p>
        </w:tc>
        <w:tc>
          <w:tcPr>
            <w:tcW w:w="1146" w:type="pct"/>
            <w:shd w:val="clear" w:color="auto" w:fill="auto"/>
          </w:tcPr>
          <w:p w:rsidR="0060532E" w:rsidRPr="0033036C" w:rsidRDefault="0060532E" w:rsidP="003201B7">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Tỷ lệ nắm giữ</w:t>
            </w:r>
          </w:p>
        </w:tc>
      </w:tr>
      <w:tr w:rsidR="0060532E" w:rsidRPr="0033036C" w:rsidTr="003201B7">
        <w:tc>
          <w:tcPr>
            <w:tcW w:w="1677" w:type="pct"/>
            <w:shd w:val="clear" w:color="auto" w:fill="auto"/>
          </w:tcPr>
          <w:p w:rsidR="0060532E" w:rsidRPr="0033036C" w:rsidRDefault="0060532E" w:rsidP="003201B7">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A</w:t>
            </w:r>
          </w:p>
        </w:tc>
        <w:tc>
          <w:tcPr>
            <w:tcW w:w="1109" w:type="pct"/>
            <w:shd w:val="clear" w:color="auto" w:fill="auto"/>
          </w:tcPr>
          <w:p w:rsidR="0060532E" w:rsidRPr="0033036C" w:rsidRDefault="0060532E" w:rsidP="003201B7">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1</w:t>
            </w:r>
          </w:p>
        </w:tc>
        <w:tc>
          <w:tcPr>
            <w:tcW w:w="1068" w:type="pct"/>
            <w:shd w:val="clear" w:color="auto" w:fill="auto"/>
          </w:tcPr>
          <w:p w:rsidR="0060532E" w:rsidRPr="0033036C" w:rsidRDefault="0060532E" w:rsidP="003201B7">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2</w:t>
            </w:r>
          </w:p>
        </w:tc>
        <w:tc>
          <w:tcPr>
            <w:tcW w:w="1146" w:type="pct"/>
            <w:shd w:val="clear" w:color="auto" w:fill="auto"/>
          </w:tcPr>
          <w:p w:rsidR="0060532E" w:rsidRPr="0033036C" w:rsidRDefault="0060532E" w:rsidP="003201B7">
            <w:pPr>
              <w:tabs>
                <w:tab w:val="left" w:pos="540"/>
              </w:tabs>
              <w:spacing w:before="120" w:after="0" w:line="240" w:lineRule="auto"/>
              <w:jc w:val="center"/>
              <w:rPr>
                <w:rFonts w:ascii="Arial" w:eastAsia="Times New Roman" w:hAnsi="Arial" w:cs="Arial"/>
                <w:sz w:val="20"/>
                <w:szCs w:val="26"/>
                <w:lang w:val="nl-NL"/>
              </w:rPr>
            </w:pPr>
            <w:r w:rsidRPr="0033036C">
              <w:rPr>
                <w:rFonts w:ascii="Arial" w:eastAsia="Times New Roman" w:hAnsi="Arial" w:cs="Arial"/>
                <w:sz w:val="20"/>
                <w:szCs w:val="26"/>
                <w:lang w:val="nl-NL"/>
              </w:rPr>
              <w:t>3</w:t>
            </w:r>
          </w:p>
        </w:tc>
      </w:tr>
      <w:tr w:rsidR="0060532E" w:rsidRPr="0033036C" w:rsidTr="003201B7">
        <w:tc>
          <w:tcPr>
            <w:tcW w:w="1677" w:type="pct"/>
            <w:shd w:val="clear" w:color="auto" w:fill="auto"/>
          </w:tcPr>
          <w:p w:rsidR="0060532E" w:rsidRPr="0033036C" w:rsidRDefault="0060532E" w:rsidP="003201B7">
            <w:pPr>
              <w:tabs>
                <w:tab w:val="left" w:pos="540"/>
              </w:tabs>
              <w:spacing w:before="120" w:after="0" w:line="240" w:lineRule="auto"/>
              <w:rPr>
                <w:rFonts w:ascii="Arial" w:eastAsia="Times New Roman" w:hAnsi="Arial" w:cs="Arial"/>
                <w:sz w:val="20"/>
                <w:szCs w:val="26"/>
                <w:lang w:val="nl-NL"/>
              </w:rPr>
            </w:pPr>
            <w:r w:rsidRPr="0033036C">
              <w:rPr>
                <w:rFonts w:ascii="Arial" w:eastAsia="Times New Roman" w:hAnsi="Arial" w:cs="Arial"/>
                <w:sz w:val="20"/>
                <w:szCs w:val="26"/>
                <w:lang w:val="nl-NL"/>
              </w:rPr>
              <w:t>Dưới 5000</w:t>
            </w:r>
          </w:p>
        </w:tc>
        <w:tc>
          <w:tcPr>
            <w:tcW w:w="1109" w:type="pct"/>
            <w:shd w:val="clear" w:color="auto" w:fill="auto"/>
          </w:tcPr>
          <w:p w:rsidR="00743354" w:rsidRPr="0033036C" w:rsidRDefault="00743354" w:rsidP="00743354">
            <w:pPr>
              <w:spacing w:after="0" w:line="240" w:lineRule="auto"/>
              <w:jc w:val="center"/>
              <w:rPr>
                <w:rFonts w:ascii="Times New Roman" w:eastAsia="Times New Roman" w:hAnsi="Times New Roman"/>
              </w:rPr>
            </w:pPr>
            <w:r w:rsidRPr="0033036C">
              <w:t>1,124</w:t>
            </w:r>
          </w:p>
          <w:p w:rsidR="0060532E" w:rsidRPr="0033036C" w:rsidRDefault="0060532E" w:rsidP="00151AC2">
            <w:pPr>
              <w:spacing w:after="0" w:line="240" w:lineRule="auto"/>
              <w:jc w:val="center"/>
              <w:rPr>
                <w:rFonts w:ascii="Arial" w:eastAsia="Times New Roman" w:hAnsi="Arial" w:cs="Arial"/>
                <w:sz w:val="20"/>
                <w:szCs w:val="26"/>
                <w:lang w:val="nl-NL"/>
              </w:rPr>
            </w:pPr>
          </w:p>
        </w:tc>
        <w:tc>
          <w:tcPr>
            <w:tcW w:w="1068" w:type="pct"/>
            <w:shd w:val="clear" w:color="auto" w:fill="auto"/>
          </w:tcPr>
          <w:p w:rsidR="00743354" w:rsidRPr="0033036C" w:rsidRDefault="00743354" w:rsidP="00743354">
            <w:pPr>
              <w:spacing w:after="0" w:line="240" w:lineRule="auto"/>
              <w:jc w:val="center"/>
              <w:rPr>
                <w:rFonts w:ascii="Times New Roman" w:eastAsia="Times New Roman" w:hAnsi="Times New Roman"/>
              </w:rPr>
            </w:pPr>
            <w:r w:rsidRPr="0033036C">
              <w:t>888,190.46</w:t>
            </w:r>
          </w:p>
          <w:p w:rsidR="0060532E" w:rsidRPr="0033036C" w:rsidRDefault="0060532E" w:rsidP="003201B7">
            <w:pPr>
              <w:tabs>
                <w:tab w:val="left" w:pos="540"/>
              </w:tabs>
              <w:spacing w:before="120" w:after="0" w:line="240" w:lineRule="auto"/>
              <w:jc w:val="center"/>
              <w:rPr>
                <w:rFonts w:ascii="Arial" w:eastAsia="Times New Roman" w:hAnsi="Arial" w:cs="Arial"/>
                <w:sz w:val="20"/>
                <w:szCs w:val="26"/>
                <w:lang w:val="nl-NL"/>
              </w:rPr>
            </w:pPr>
          </w:p>
        </w:tc>
        <w:tc>
          <w:tcPr>
            <w:tcW w:w="1146" w:type="pct"/>
            <w:shd w:val="clear" w:color="auto" w:fill="auto"/>
          </w:tcPr>
          <w:p w:rsidR="00743354" w:rsidRPr="0033036C" w:rsidRDefault="00743354" w:rsidP="00743354">
            <w:pPr>
              <w:spacing w:after="0" w:line="240" w:lineRule="auto"/>
              <w:jc w:val="center"/>
              <w:rPr>
                <w:rFonts w:ascii="Times New Roman" w:eastAsia="Times New Roman" w:hAnsi="Times New Roman"/>
              </w:rPr>
            </w:pPr>
            <w:r w:rsidRPr="0033036C">
              <w:t>3.21</w:t>
            </w:r>
          </w:p>
          <w:p w:rsidR="0060532E" w:rsidRPr="0033036C" w:rsidRDefault="0060532E" w:rsidP="003201B7">
            <w:pPr>
              <w:tabs>
                <w:tab w:val="left" w:pos="540"/>
              </w:tabs>
              <w:spacing w:before="120" w:after="0" w:line="240" w:lineRule="auto"/>
              <w:jc w:val="center"/>
              <w:rPr>
                <w:rFonts w:ascii="Arial" w:eastAsia="Times New Roman" w:hAnsi="Arial" w:cs="Arial"/>
                <w:sz w:val="20"/>
                <w:szCs w:val="26"/>
                <w:lang w:val="nl-NL"/>
              </w:rPr>
            </w:pPr>
          </w:p>
        </w:tc>
      </w:tr>
      <w:tr w:rsidR="0060532E" w:rsidRPr="0033036C" w:rsidTr="003201B7">
        <w:tc>
          <w:tcPr>
            <w:tcW w:w="1677" w:type="pct"/>
            <w:shd w:val="clear" w:color="auto" w:fill="auto"/>
          </w:tcPr>
          <w:p w:rsidR="0060532E" w:rsidRPr="0033036C" w:rsidRDefault="0060532E" w:rsidP="003201B7">
            <w:pPr>
              <w:tabs>
                <w:tab w:val="left" w:pos="540"/>
              </w:tabs>
              <w:spacing w:before="120" w:after="0" w:line="240" w:lineRule="auto"/>
              <w:rPr>
                <w:rFonts w:ascii="Arial" w:eastAsia="Times New Roman" w:hAnsi="Arial" w:cs="Arial"/>
                <w:sz w:val="20"/>
                <w:szCs w:val="26"/>
                <w:lang w:val="nl-NL"/>
              </w:rPr>
            </w:pPr>
            <w:r w:rsidRPr="0033036C">
              <w:rPr>
                <w:rFonts w:ascii="Arial" w:eastAsia="Times New Roman" w:hAnsi="Arial" w:cs="Arial"/>
                <w:sz w:val="20"/>
                <w:szCs w:val="26"/>
                <w:lang w:val="nl-NL"/>
              </w:rPr>
              <w:t>Từ 5000 - 10.000</w:t>
            </w:r>
          </w:p>
        </w:tc>
        <w:tc>
          <w:tcPr>
            <w:tcW w:w="1109" w:type="pct"/>
            <w:shd w:val="clear" w:color="auto" w:fill="auto"/>
          </w:tcPr>
          <w:p w:rsidR="00743354" w:rsidRPr="0033036C" w:rsidRDefault="00743354" w:rsidP="00743354">
            <w:pPr>
              <w:spacing w:after="0" w:line="240" w:lineRule="auto"/>
              <w:jc w:val="center"/>
              <w:rPr>
                <w:rFonts w:ascii="Times New Roman" w:eastAsia="Times New Roman" w:hAnsi="Times New Roman"/>
              </w:rPr>
            </w:pPr>
            <w:r w:rsidRPr="0033036C">
              <w:t>89</w:t>
            </w:r>
          </w:p>
          <w:p w:rsidR="0060532E" w:rsidRPr="0033036C" w:rsidRDefault="0060532E" w:rsidP="003201B7">
            <w:pPr>
              <w:tabs>
                <w:tab w:val="left" w:pos="540"/>
              </w:tabs>
              <w:spacing w:before="120" w:after="0" w:line="240" w:lineRule="auto"/>
              <w:jc w:val="center"/>
              <w:rPr>
                <w:rFonts w:ascii="Arial" w:eastAsia="Times New Roman" w:hAnsi="Arial" w:cs="Arial"/>
                <w:sz w:val="20"/>
                <w:szCs w:val="26"/>
                <w:lang w:val="nl-NL"/>
              </w:rPr>
            </w:pPr>
          </w:p>
        </w:tc>
        <w:tc>
          <w:tcPr>
            <w:tcW w:w="1068" w:type="pct"/>
            <w:shd w:val="clear" w:color="auto" w:fill="auto"/>
          </w:tcPr>
          <w:p w:rsidR="00743354" w:rsidRPr="0033036C" w:rsidRDefault="00743354" w:rsidP="00743354">
            <w:pPr>
              <w:spacing w:after="0" w:line="240" w:lineRule="auto"/>
              <w:jc w:val="center"/>
              <w:rPr>
                <w:rFonts w:ascii="Times New Roman" w:eastAsia="Times New Roman" w:hAnsi="Times New Roman"/>
              </w:rPr>
            </w:pPr>
            <w:r w:rsidRPr="0033036C">
              <w:t>610,387.28</w:t>
            </w:r>
          </w:p>
          <w:p w:rsidR="0060532E" w:rsidRPr="0033036C" w:rsidRDefault="0060532E" w:rsidP="003201B7">
            <w:pPr>
              <w:tabs>
                <w:tab w:val="left" w:pos="540"/>
              </w:tabs>
              <w:spacing w:before="120" w:after="0" w:line="240" w:lineRule="auto"/>
              <w:jc w:val="center"/>
              <w:rPr>
                <w:rFonts w:ascii="Arial" w:eastAsia="Times New Roman" w:hAnsi="Arial" w:cs="Arial"/>
                <w:sz w:val="20"/>
                <w:szCs w:val="26"/>
                <w:lang w:val="nl-NL"/>
              </w:rPr>
            </w:pPr>
          </w:p>
        </w:tc>
        <w:tc>
          <w:tcPr>
            <w:tcW w:w="1146" w:type="pct"/>
            <w:shd w:val="clear" w:color="auto" w:fill="auto"/>
          </w:tcPr>
          <w:p w:rsidR="00743354" w:rsidRPr="0033036C" w:rsidRDefault="00743354" w:rsidP="00743354">
            <w:pPr>
              <w:spacing w:after="0" w:line="240" w:lineRule="auto"/>
              <w:jc w:val="center"/>
              <w:rPr>
                <w:rFonts w:ascii="Times New Roman" w:eastAsia="Times New Roman" w:hAnsi="Times New Roman"/>
              </w:rPr>
            </w:pPr>
            <w:r w:rsidRPr="0033036C">
              <w:t>2.21</w:t>
            </w:r>
          </w:p>
          <w:p w:rsidR="0060532E" w:rsidRPr="0033036C" w:rsidRDefault="0060532E" w:rsidP="003201B7">
            <w:pPr>
              <w:tabs>
                <w:tab w:val="left" w:pos="540"/>
              </w:tabs>
              <w:spacing w:before="120" w:after="0" w:line="240" w:lineRule="auto"/>
              <w:jc w:val="center"/>
              <w:rPr>
                <w:rFonts w:ascii="Arial" w:eastAsia="Times New Roman" w:hAnsi="Arial" w:cs="Arial"/>
                <w:sz w:val="20"/>
                <w:szCs w:val="26"/>
                <w:lang w:val="nl-NL"/>
              </w:rPr>
            </w:pPr>
          </w:p>
        </w:tc>
      </w:tr>
      <w:tr w:rsidR="0060532E" w:rsidRPr="0033036C" w:rsidTr="003201B7">
        <w:tc>
          <w:tcPr>
            <w:tcW w:w="1677" w:type="pct"/>
            <w:shd w:val="clear" w:color="auto" w:fill="auto"/>
          </w:tcPr>
          <w:p w:rsidR="0060532E" w:rsidRPr="0033036C" w:rsidRDefault="0060532E" w:rsidP="003201B7">
            <w:pPr>
              <w:tabs>
                <w:tab w:val="left" w:pos="540"/>
              </w:tabs>
              <w:spacing w:before="120" w:after="0" w:line="240" w:lineRule="auto"/>
              <w:rPr>
                <w:rFonts w:ascii="Arial" w:eastAsia="Times New Roman" w:hAnsi="Arial" w:cs="Arial"/>
                <w:sz w:val="20"/>
                <w:szCs w:val="26"/>
                <w:lang w:val="nl-NL"/>
              </w:rPr>
            </w:pPr>
            <w:r w:rsidRPr="0033036C">
              <w:rPr>
                <w:rFonts w:ascii="Arial" w:eastAsia="Times New Roman" w:hAnsi="Arial" w:cs="Arial"/>
                <w:sz w:val="20"/>
                <w:szCs w:val="26"/>
                <w:lang w:val="nl-NL"/>
              </w:rPr>
              <w:t>Từ 10.000 đến 50.000</w:t>
            </w:r>
          </w:p>
        </w:tc>
        <w:tc>
          <w:tcPr>
            <w:tcW w:w="1109" w:type="pct"/>
            <w:shd w:val="clear" w:color="auto" w:fill="auto"/>
          </w:tcPr>
          <w:p w:rsidR="00743354" w:rsidRPr="0033036C" w:rsidRDefault="00743354" w:rsidP="00743354">
            <w:pPr>
              <w:spacing w:after="0" w:line="240" w:lineRule="auto"/>
              <w:jc w:val="center"/>
              <w:rPr>
                <w:rFonts w:ascii="Times New Roman" w:eastAsia="Times New Roman" w:hAnsi="Times New Roman"/>
              </w:rPr>
            </w:pPr>
            <w:r w:rsidRPr="0033036C">
              <w:t>62</w:t>
            </w:r>
          </w:p>
          <w:p w:rsidR="0060532E" w:rsidRPr="0033036C" w:rsidRDefault="0060532E" w:rsidP="003201B7">
            <w:pPr>
              <w:tabs>
                <w:tab w:val="left" w:pos="540"/>
              </w:tabs>
              <w:spacing w:before="120" w:after="0" w:line="240" w:lineRule="auto"/>
              <w:jc w:val="center"/>
              <w:rPr>
                <w:rFonts w:ascii="Arial" w:eastAsia="Times New Roman" w:hAnsi="Arial" w:cs="Arial"/>
                <w:sz w:val="20"/>
                <w:szCs w:val="26"/>
                <w:lang w:val="nl-NL"/>
              </w:rPr>
            </w:pPr>
          </w:p>
        </w:tc>
        <w:tc>
          <w:tcPr>
            <w:tcW w:w="1068" w:type="pct"/>
            <w:shd w:val="clear" w:color="auto" w:fill="auto"/>
          </w:tcPr>
          <w:p w:rsidR="00743354" w:rsidRPr="0033036C" w:rsidRDefault="00743354" w:rsidP="00743354">
            <w:pPr>
              <w:spacing w:after="0" w:line="240" w:lineRule="auto"/>
              <w:jc w:val="center"/>
              <w:rPr>
                <w:rFonts w:ascii="Times New Roman" w:eastAsia="Times New Roman" w:hAnsi="Times New Roman"/>
              </w:rPr>
            </w:pPr>
            <w:r w:rsidRPr="0033036C">
              <w:t>1,409,843.41</w:t>
            </w:r>
          </w:p>
          <w:p w:rsidR="0060532E" w:rsidRPr="0033036C" w:rsidRDefault="0060532E" w:rsidP="003201B7">
            <w:pPr>
              <w:tabs>
                <w:tab w:val="left" w:pos="540"/>
              </w:tabs>
              <w:spacing w:before="120" w:after="0" w:line="240" w:lineRule="auto"/>
              <w:jc w:val="center"/>
              <w:rPr>
                <w:rFonts w:ascii="Arial" w:eastAsia="Times New Roman" w:hAnsi="Arial" w:cs="Arial"/>
                <w:sz w:val="20"/>
                <w:szCs w:val="26"/>
                <w:lang w:val="nl-NL"/>
              </w:rPr>
            </w:pPr>
          </w:p>
        </w:tc>
        <w:tc>
          <w:tcPr>
            <w:tcW w:w="1146" w:type="pct"/>
            <w:shd w:val="clear" w:color="auto" w:fill="auto"/>
          </w:tcPr>
          <w:p w:rsidR="00743354" w:rsidRPr="0033036C" w:rsidRDefault="00743354" w:rsidP="00743354">
            <w:pPr>
              <w:spacing w:after="0" w:line="240" w:lineRule="auto"/>
              <w:jc w:val="center"/>
              <w:rPr>
                <w:rFonts w:ascii="Times New Roman" w:eastAsia="Times New Roman" w:hAnsi="Times New Roman"/>
              </w:rPr>
            </w:pPr>
            <w:r w:rsidRPr="0033036C">
              <w:t>5.10</w:t>
            </w:r>
          </w:p>
          <w:p w:rsidR="0060532E" w:rsidRPr="0033036C" w:rsidRDefault="0060532E" w:rsidP="003201B7">
            <w:pPr>
              <w:tabs>
                <w:tab w:val="left" w:pos="540"/>
              </w:tabs>
              <w:spacing w:before="120" w:after="0" w:line="240" w:lineRule="auto"/>
              <w:jc w:val="center"/>
              <w:rPr>
                <w:rFonts w:ascii="Arial" w:eastAsia="Times New Roman" w:hAnsi="Arial" w:cs="Arial"/>
                <w:sz w:val="20"/>
                <w:szCs w:val="26"/>
                <w:lang w:val="nl-NL"/>
              </w:rPr>
            </w:pPr>
          </w:p>
        </w:tc>
      </w:tr>
      <w:tr w:rsidR="0060532E" w:rsidRPr="0033036C" w:rsidTr="003201B7">
        <w:tc>
          <w:tcPr>
            <w:tcW w:w="1677" w:type="pct"/>
            <w:shd w:val="clear" w:color="auto" w:fill="auto"/>
          </w:tcPr>
          <w:p w:rsidR="0060532E" w:rsidRPr="0033036C" w:rsidRDefault="0060532E" w:rsidP="003201B7">
            <w:pPr>
              <w:tabs>
                <w:tab w:val="left" w:pos="540"/>
              </w:tabs>
              <w:spacing w:before="120" w:after="0" w:line="240" w:lineRule="auto"/>
              <w:rPr>
                <w:rFonts w:ascii="Arial" w:eastAsia="Times New Roman" w:hAnsi="Arial" w:cs="Arial"/>
                <w:sz w:val="20"/>
                <w:szCs w:val="26"/>
                <w:lang w:val="nl-NL"/>
              </w:rPr>
            </w:pPr>
            <w:r w:rsidRPr="0033036C">
              <w:rPr>
                <w:rFonts w:ascii="Arial" w:eastAsia="Times New Roman" w:hAnsi="Arial" w:cs="Arial"/>
                <w:sz w:val="20"/>
                <w:szCs w:val="26"/>
                <w:lang w:val="nl-NL"/>
              </w:rPr>
              <w:t>Từ 50.000 đến 500.000</w:t>
            </w:r>
          </w:p>
        </w:tc>
        <w:tc>
          <w:tcPr>
            <w:tcW w:w="1109" w:type="pct"/>
            <w:shd w:val="clear" w:color="auto" w:fill="auto"/>
          </w:tcPr>
          <w:p w:rsidR="00743354" w:rsidRPr="0033036C" w:rsidRDefault="00743354" w:rsidP="00743354">
            <w:pPr>
              <w:spacing w:after="0" w:line="240" w:lineRule="auto"/>
              <w:jc w:val="center"/>
              <w:rPr>
                <w:rFonts w:ascii="Times New Roman" w:eastAsia="Times New Roman" w:hAnsi="Times New Roman"/>
              </w:rPr>
            </w:pPr>
            <w:r w:rsidRPr="0033036C">
              <w:t>27</w:t>
            </w:r>
          </w:p>
          <w:p w:rsidR="0060532E" w:rsidRPr="0033036C" w:rsidRDefault="0060532E" w:rsidP="003201B7">
            <w:pPr>
              <w:tabs>
                <w:tab w:val="left" w:pos="540"/>
              </w:tabs>
              <w:spacing w:before="120" w:after="0" w:line="240" w:lineRule="auto"/>
              <w:jc w:val="center"/>
              <w:rPr>
                <w:rFonts w:ascii="Arial" w:eastAsia="Times New Roman" w:hAnsi="Arial" w:cs="Arial"/>
                <w:sz w:val="20"/>
                <w:szCs w:val="26"/>
                <w:lang w:val="nl-NL"/>
              </w:rPr>
            </w:pPr>
          </w:p>
        </w:tc>
        <w:tc>
          <w:tcPr>
            <w:tcW w:w="1068" w:type="pct"/>
            <w:shd w:val="clear" w:color="auto" w:fill="auto"/>
          </w:tcPr>
          <w:p w:rsidR="00743354" w:rsidRPr="0033036C" w:rsidRDefault="00743354" w:rsidP="00743354">
            <w:pPr>
              <w:spacing w:after="0" w:line="240" w:lineRule="auto"/>
              <w:jc w:val="center"/>
              <w:rPr>
                <w:rFonts w:ascii="Times New Roman" w:eastAsia="Times New Roman" w:hAnsi="Times New Roman"/>
              </w:rPr>
            </w:pPr>
            <w:r w:rsidRPr="0033036C">
              <w:t>4,361,539.05</w:t>
            </w:r>
          </w:p>
          <w:p w:rsidR="0060532E" w:rsidRPr="0033036C" w:rsidRDefault="0060532E" w:rsidP="003201B7">
            <w:pPr>
              <w:tabs>
                <w:tab w:val="left" w:pos="540"/>
              </w:tabs>
              <w:spacing w:before="120" w:after="0" w:line="240" w:lineRule="auto"/>
              <w:jc w:val="center"/>
              <w:rPr>
                <w:rFonts w:ascii="Arial" w:eastAsia="Times New Roman" w:hAnsi="Arial" w:cs="Arial"/>
                <w:sz w:val="20"/>
                <w:szCs w:val="26"/>
                <w:lang w:val="nl-NL"/>
              </w:rPr>
            </w:pPr>
          </w:p>
        </w:tc>
        <w:tc>
          <w:tcPr>
            <w:tcW w:w="1146" w:type="pct"/>
            <w:shd w:val="clear" w:color="auto" w:fill="auto"/>
          </w:tcPr>
          <w:p w:rsidR="00743354" w:rsidRPr="0033036C" w:rsidRDefault="00743354" w:rsidP="00743354">
            <w:pPr>
              <w:spacing w:after="0" w:line="240" w:lineRule="auto"/>
              <w:jc w:val="center"/>
              <w:rPr>
                <w:rFonts w:ascii="Times New Roman" w:eastAsia="Times New Roman" w:hAnsi="Times New Roman"/>
              </w:rPr>
            </w:pPr>
            <w:r w:rsidRPr="0033036C">
              <w:t>15.77</w:t>
            </w:r>
          </w:p>
          <w:p w:rsidR="0060532E" w:rsidRPr="0033036C" w:rsidRDefault="0060532E" w:rsidP="003201B7">
            <w:pPr>
              <w:tabs>
                <w:tab w:val="left" w:pos="540"/>
              </w:tabs>
              <w:spacing w:before="120" w:after="0" w:line="240" w:lineRule="auto"/>
              <w:jc w:val="center"/>
              <w:rPr>
                <w:rFonts w:ascii="Arial" w:eastAsia="Times New Roman" w:hAnsi="Arial" w:cs="Arial"/>
                <w:sz w:val="20"/>
                <w:szCs w:val="26"/>
                <w:lang w:val="nl-NL"/>
              </w:rPr>
            </w:pPr>
          </w:p>
        </w:tc>
      </w:tr>
      <w:tr w:rsidR="0060532E" w:rsidRPr="0033036C" w:rsidTr="003201B7">
        <w:tc>
          <w:tcPr>
            <w:tcW w:w="1677" w:type="pct"/>
            <w:shd w:val="clear" w:color="auto" w:fill="auto"/>
          </w:tcPr>
          <w:p w:rsidR="0060532E" w:rsidRPr="0033036C" w:rsidRDefault="0060532E" w:rsidP="003201B7">
            <w:pPr>
              <w:tabs>
                <w:tab w:val="left" w:pos="540"/>
              </w:tabs>
              <w:spacing w:before="120" w:after="0" w:line="240" w:lineRule="auto"/>
              <w:rPr>
                <w:rFonts w:ascii="Arial" w:eastAsia="Times New Roman" w:hAnsi="Arial" w:cs="Arial"/>
                <w:sz w:val="20"/>
                <w:szCs w:val="26"/>
                <w:lang w:val="nl-NL"/>
              </w:rPr>
            </w:pPr>
            <w:r w:rsidRPr="0033036C">
              <w:rPr>
                <w:rFonts w:ascii="Arial" w:eastAsia="Times New Roman" w:hAnsi="Arial" w:cs="Arial"/>
                <w:sz w:val="20"/>
                <w:szCs w:val="26"/>
                <w:lang w:val="nl-NL"/>
              </w:rPr>
              <w:t>Trên 500.000</w:t>
            </w:r>
          </w:p>
        </w:tc>
        <w:tc>
          <w:tcPr>
            <w:tcW w:w="1109" w:type="pct"/>
            <w:shd w:val="clear" w:color="auto" w:fill="auto"/>
          </w:tcPr>
          <w:p w:rsidR="00743354" w:rsidRPr="0033036C" w:rsidRDefault="00743354" w:rsidP="00743354">
            <w:pPr>
              <w:spacing w:after="0" w:line="240" w:lineRule="auto"/>
              <w:jc w:val="center"/>
              <w:rPr>
                <w:rFonts w:ascii="Times New Roman" w:eastAsia="Times New Roman" w:hAnsi="Times New Roman"/>
              </w:rPr>
            </w:pPr>
            <w:r w:rsidRPr="0033036C">
              <w:t>7</w:t>
            </w:r>
          </w:p>
          <w:p w:rsidR="0060532E" w:rsidRPr="0033036C" w:rsidRDefault="0060532E" w:rsidP="003201B7">
            <w:pPr>
              <w:tabs>
                <w:tab w:val="left" w:pos="540"/>
              </w:tabs>
              <w:spacing w:before="120" w:after="0" w:line="240" w:lineRule="auto"/>
              <w:jc w:val="center"/>
              <w:rPr>
                <w:rFonts w:ascii="Arial" w:eastAsia="Times New Roman" w:hAnsi="Arial" w:cs="Arial"/>
                <w:sz w:val="20"/>
                <w:szCs w:val="26"/>
                <w:lang w:val="nl-NL"/>
              </w:rPr>
            </w:pPr>
          </w:p>
        </w:tc>
        <w:tc>
          <w:tcPr>
            <w:tcW w:w="1068" w:type="pct"/>
            <w:shd w:val="clear" w:color="auto" w:fill="auto"/>
          </w:tcPr>
          <w:p w:rsidR="00743354" w:rsidRPr="0033036C" w:rsidRDefault="00743354" w:rsidP="00743354">
            <w:pPr>
              <w:spacing w:after="0" w:line="240" w:lineRule="auto"/>
              <w:jc w:val="center"/>
              <w:rPr>
                <w:rFonts w:ascii="Times New Roman" w:eastAsia="Times New Roman" w:hAnsi="Times New Roman"/>
              </w:rPr>
            </w:pPr>
            <w:r w:rsidRPr="0033036C">
              <w:t>20,389,635.72</w:t>
            </w:r>
          </w:p>
          <w:p w:rsidR="0060532E" w:rsidRPr="0033036C" w:rsidRDefault="0060532E" w:rsidP="003201B7">
            <w:pPr>
              <w:tabs>
                <w:tab w:val="left" w:pos="540"/>
              </w:tabs>
              <w:spacing w:before="120" w:after="0" w:line="240" w:lineRule="auto"/>
              <w:jc w:val="center"/>
              <w:rPr>
                <w:rFonts w:ascii="Arial" w:eastAsia="Times New Roman" w:hAnsi="Arial" w:cs="Arial"/>
                <w:sz w:val="20"/>
                <w:szCs w:val="26"/>
                <w:lang w:val="nl-NL"/>
              </w:rPr>
            </w:pPr>
          </w:p>
        </w:tc>
        <w:tc>
          <w:tcPr>
            <w:tcW w:w="1146" w:type="pct"/>
            <w:shd w:val="clear" w:color="auto" w:fill="auto"/>
          </w:tcPr>
          <w:p w:rsidR="00743354" w:rsidRPr="0033036C" w:rsidRDefault="00743354" w:rsidP="00743354">
            <w:pPr>
              <w:spacing w:after="0" w:line="240" w:lineRule="auto"/>
              <w:jc w:val="center"/>
              <w:rPr>
                <w:rFonts w:ascii="Times New Roman" w:eastAsia="Times New Roman" w:hAnsi="Times New Roman"/>
              </w:rPr>
            </w:pPr>
            <w:r w:rsidRPr="0033036C">
              <w:t>73.72</w:t>
            </w:r>
          </w:p>
          <w:p w:rsidR="0060532E" w:rsidRPr="0033036C" w:rsidRDefault="0060532E" w:rsidP="003201B7">
            <w:pPr>
              <w:tabs>
                <w:tab w:val="left" w:pos="540"/>
              </w:tabs>
              <w:spacing w:before="120" w:after="0" w:line="240" w:lineRule="auto"/>
              <w:jc w:val="center"/>
              <w:rPr>
                <w:rFonts w:ascii="Arial" w:eastAsia="Times New Roman" w:hAnsi="Arial" w:cs="Arial"/>
                <w:sz w:val="20"/>
                <w:szCs w:val="26"/>
                <w:lang w:val="nl-NL"/>
              </w:rPr>
            </w:pPr>
          </w:p>
        </w:tc>
      </w:tr>
      <w:tr w:rsidR="0060532E" w:rsidRPr="0033036C" w:rsidTr="003201B7">
        <w:tc>
          <w:tcPr>
            <w:tcW w:w="1677" w:type="pct"/>
            <w:shd w:val="clear" w:color="auto" w:fill="auto"/>
          </w:tcPr>
          <w:p w:rsidR="0060532E" w:rsidRPr="0033036C" w:rsidRDefault="0060532E" w:rsidP="003201B7">
            <w:pPr>
              <w:tabs>
                <w:tab w:val="left" w:pos="540"/>
              </w:tabs>
              <w:spacing w:before="120" w:after="0" w:line="240" w:lineRule="auto"/>
              <w:rPr>
                <w:rFonts w:ascii="Arial" w:eastAsia="Times New Roman" w:hAnsi="Arial" w:cs="Arial"/>
                <w:b/>
                <w:sz w:val="20"/>
                <w:szCs w:val="26"/>
                <w:lang w:val="nl-NL"/>
              </w:rPr>
            </w:pPr>
            <w:r w:rsidRPr="0033036C">
              <w:rPr>
                <w:rFonts w:ascii="Arial" w:eastAsia="Times New Roman" w:hAnsi="Arial" w:cs="Arial"/>
                <w:b/>
                <w:sz w:val="20"/>
                <w:szCs w:val="26"/>
                <w:lang w:val="nl-NL"/>
              </w:rPr>
              <w:t>Tổng cộng</w:t>
            </w:r>
          </w:p>
        </w:tc>
        <w:tc>
          <w:tcPr>
            <w:tcW w:w="1109" w:type="pct"/>
            <w:shd w:val="clear" w:color="auto" w:fill="auto"/>
          </w:tcPr>
          <w:p w:rsidR="00743354" w:rsidRPr="0033036C" w:rsidRDefault="00743354" w:rsidP="00743354">
            <w:pPr>
              <w:spacing w:after="0" w:line="240" w:lineRule="auto"/>
              <w:jc w:val="center"/>
              <w:rPr>
                <w:rFonts w:ascii="Times New Roman" w:eastAsia="Times New Roman" w:hAnsi="Times New Roman"/>
              </w:rPr>
            </w:pPr>
            <w:r w:rsidRPr="0033036C">
              <w:t>1,309</w:t>
            </w:r>
          </w:p>
          <w:p w:rsidR="0060532E" w:rsidRPr="0033036C" w:rsidRDefault="0060532E" w:rsidP="003201B7">
            <w:pPr>
              <w:tabs>
                <w:tab w:val="left" w:pos="540"/>
              </w:tabs>
              <w:spacing w:before="120" w:after="0" w:line="240" w:lineRule="auto"/>
              <w:jc w:val="center"/>
              <w:rPr>
                <w:rFonts w:ascii="Arial" w:eastAsia="Times New Roman" w:hAnsi="Arial" w:cs="Arial"/>
                <w:b/>
                <w:sz w:val="20"/>
                <w:szCs w:val="26"/>
                <w:lang w:val="nl-NL"/>
              </w:rPr>
            </w:pPr>
          </w:p>
        </w:tc>
        <w:tc>
          <w:tcPr>
            <w:tcW w:w="1068" w:type="pct"/>
            <w:shd w:val="clear" w:color="auto" w:fill="auto"/>
          </w:tcPr>
          <w:p w:rsidR="00743354" w:rsidRPr="0033036C" w:rsidRDefault="00743354" w:rsidP="00743354">
            <w:pPr>
              <w:spacing w:after="0" w:line="240" w:lineRule="auto"/>
              <w:jc w:val="center"/>
              <w:rPr>
                <w:rFonts w:ascii="Times New Roman" w:eastAsia="Times New Roman" w:hAnsi="Times New Roman"/>
              </w:rPr>
            </w:pPr>
            <w:r w:rsidRPr="0033036C">
              <w:t>27,659,595.92</w:t>
            </w:r>
          </w:p>
          <w:p w:rsidR="0060532E" w:rsidRPr="0033036C" w:rsidRDefault="0060532E" w:rsidP="004C3F0E">
            <w:pPr>
              <w:spacing w:after="0" w:line="240" w:lineRule="auto"/>
              <w:jc w:val="center"/>
              <w:rPr>
                <w:rFonts w:ascii="Arial" w:eastAsia="Times New Roman" w:hAnsi="Arial" w:cs="Arial"/>
                <w:b/>
                <w:sz w:val="20"/>
                <w:szCs w:val="20"/>
              </w:rPr>
            </w:pPr>
          </w:p>
        </w:tc>
        <w:tc>
          <w:tcPr>
            <w:tcW w:w="1146" w:type="pct"/>
            <w:shd w:val="clear" w:color="auto" w:fill="auto"/>
          </w:tcPr>
          <w:p w:rsidR="0060532E" w:rsidRPr="0033036C" w:rsidRDefault="00151AC2" w:rsidP="003201B7">
            <w:pPr>
              <w:tabs>
                <w:tab w:val="left" w:pos="540"/>
              </w:tabs>
              <w:spacing w:before="120" w:after="0" w:line="240" w:lineRule="auto"/>
              <w:jc w:val="center"/>
              <w:rPr>
                <w:rFonts w:ascii="Arial" w:eastAsia="Times New Roman" w:hAnsi="Arial" w:cs="Arial"/>
                <w:b/>
                <w:sz w:val="20"/>
                <w:szCs w:val="26"/>
                <w:lang w:val="nl-NL"/>
              </w:rPr>
            </w:pPr>
            <w:r w:rsidRPr="0033036C">
              <w:rPr>
                <w:rFonts w:ascii="Arial" w:eastAsia="Times New Roman" w:hAnsi="Arial" w:cs="Arial"/>
                <w:b/>
                <w:sz w:val="20"/>
                <w:szCs w:val="26"/>
                <w:lang w:val="nl-NL"/>
              </w:rPr>
              <w:t>100</w:t>
            </w:r>
          </w:p>
        </w:tc>
      </w:tr>
    </w:tbl>
    <w:p w:rsidR="0060532E" w:rsidRPr="0033036C" w:rsidRDefault="0060532E" w:rsidP="0060532E">
      <w:pPr>
        <w:shd w:val="clear" w:color="auto" w:fill="FFFFFF"/>
        <w:tabs>
          <w:tab w:val="left" w:pos="540"/>
        </w:tabs>
        <w:spacing w:before="120" w:after="0" w:line="240" w:lineRule="auto"/>
        <w:rPr>
          <w:rFonts w:ascii="Arial" w:hAnsi="Arial" w:cs="Arial"/>
          <w:i/>
          <w:sz w:val="20"/>
          <w:szCs w:val="26"/>
          <w:lang w:val="nl-NL"/>
        </w:rPr>
      </w:pPr>
      <w:r w:rsidRPr="0033036C">
        <w:rPr>
          <w:rFonts w:ascii="Arial" w:hAnsi="Arial" w:cs="Arial"/>
          <w:i/>
          <w:sz w:val="20"/>
          <w:szCs w:val="26"/>
          <w:lang w:val="nl-NL"/>
        </w:rPr>
        <w:t>Ghi chú: Trình bày tình hình nắm giữ Chứng chỉ quỹ của Nhà đầu tư từ ít nhất đến nhiều nhất.</w:t>
      </w:r>
    </w:p>
    <w:p w:rsidR="0060532E" w:rsidRPr="0033036C" w:rsidRDefault="0060532E" w:rsidP="0060532E">
      <w:pPr>
        <w:shd w:val="clear" w:color="auto" w:fill="FFFFFF"/>
        <w:tabs>
          <w:tab w:val="left" w:pos="540"/>
        </w:tabs>
        <w:spacing w:before="120" w:after="0" w:line="240" w:lineRule="auto"/>
        <w:rPr>
          <w:rFonts w:ascii="Arial" w:hAnsi="Arial" w:cs="Arial"/>
          <w:sz w:val="20"/>
          <w:szCs w:val="26"/>
          <w:lang w:val="nl-NL"/>
        </w:rPr>
      </w:pPr>
      <w:r w:rsidRPr="0033036C">
        <w:rPr>
          <w:rFonts w:ascii="Arial" w:hAnsi="Arial" w:cs="Arial"/>
          <w:b/>
          <w:sz w:val="20"/>
          <w:szCs w:val="26"/>
          <w:lang w:val="nl-NL"/>
        </w:rPr>
        <w:t>5.</w:t>
      </w:r>
      <w:r w:rsidRPr="0033036C">
        <w:rPr>
          <w:rFonts w:ascii="Arial" w:hAnsi="Arial" w:cs="Arial"/>
          <w:sz w:val="20"/>
          <w:szCs w:val="26"/>
          <w:lang w:val="nl-NL"/>
        </w:rPr>
        <w:t xml:space="preserve"> </w:t>
      </w:r>
      <w:r w:rsidRPr="0033036C">
        <w:rPr>
          <w:rFonts w:ascii="Arial" w:hAnsi="Arial" w:cs="Arial"/>
          <w:b/>
          <w:sz w:val="20"/>
          <w:szCs w:val="26"/>
          <w:lang w:val="nl-NL"/>
        </w:rPr>
        <w:t>Chi phí ngầm và giảm giá</w:t>
      </w:r>
    </w:p>
    <w:p w:rsidR="0060532E" w:rsidRPr="0033036C" w:rsidRDefault="0060532E" w:rsidP="0060532E">
      <w:pPr>
        <w:shd w:val="clear" w:color="auto" w:fill="FFFFFF"/>
        <w:tabs>
          <w:tab w:val="left" w:pos="540"/>
        </w:tabs>
        <w:spacing w:before="120" w:after="0" w:line="240" w:lineRule="auto"/>
        <w:rPr>
          <w:rFonts w:ascii="Arial" w:hAnsi="Arial" w:cs="Arial"/>
          <w:sz w:val="20"/>
          <w:szCs w:val="26"/>
          <w:lang w:val="nl-NL"/>
        </w:rPr>
      </w:pPr>
      <w:r w:rsidRPr="0033036C">
        <w:rPr>
          <w:rFonts w:ascii="Arial" w:hAnsi="Arial" w:cs="Arial"/>
          <w:sz w:val="20"/>
          <w:szCs w:val="26"/>
          <w:lang w:val="nl-NL"/>
        </w:rPr>
        <w:t>Trình bày cam kết chính sách của Công ty quản lý quỹ về chi phí ngầm, giảm giá và tính độc lập trong quản lý Quỹ ETF.</w:t>
      </w:r>
    </w:p>
    <w:p w:rsidR="0060532E" w:rsidRPr="0033036C" w:rsidRDefault="0060532E" w:rsidP="0060532E">
      <w:pPr>
        <w:shd w:val="clear" w:color="auto" w:fill="FFFFFF"/>
        <w:tabs>
          <w:tab w:val="left" w:pos="540"/>
        </w:tabs>
        <w:spacing w:before="120" w:after="0" w:line="240" w:lineRule="auto"/>
        <w:rPr>
          <w:rFonts w:ascii="Arial" w:hAnsi="Arial" w:cs="Arial"/>
          <w:b/>
          <w:sz w:val="20"/>
          <w:szCs w:val="26"/>
          <w:lang w:val="nl-NL"/>
        </w:rPr>
      </w:pPr>
      <w:r w:rsidRPr="0033036C">
        <w:rPr>
          <w:rFonts w:ascii="Arial" w:hAnsi="Arial" w:cs="Arial"/>
          <w:b/>
          <w:sz w:val="20"/>
          <w:szCs w:val="26"/>
          <w:lang w:val="nl-NL"/>
        </w:rPr>
        <w:t>V. Thông tin về triển vọng thị trường</w:t>
      </w:r>
    </w:p>
    <w:p w:rsidR="00DD289D" w:rsidRPr="0033036C" w:rsidRDefault="00DD289D" w:rsidP="00DD289D">
      <w:pPr>
        <w:spacing w:after="120"/>
        <w:jc w:val="both"/>
        <w:rPr>
          <w:rFonts w:ascii="Arial" w:hAnsi="Arial"/>
          <w:sz w:val="20"/>
          <w:szCs w:val="20"/>
        </w:rPr>
      </w:pPr>
      <w:r w:rsidRPr="0033036C">
        <w:rPr>
          <w:rFonts w:ascii="Arial" w:hAnsi="Arial"/>
          <w:sz w:val="20"/>
          <w:szCs w:val="20"/>
        </w:rPr>
        <w:t xml:space="preserve">Thị trường chứng khoán năm 2016 mở đầu bằng những thông tin kinh tế không khả quan của Trung Quốc cũng như áp lực rút vốn mạnh mẽ khỏi các thị trường mới nổi khi Cục dự trữ liên bang Mỹ có dự định tiếp tục tăng lãi suất trong năm 2016. Ngược chiều với những thông tin không tốt từ kinh tế thế giới, kinh tế Việt Nam lại đang trong quá trình phục hồi và phát triển tốt. Do vậy, thông tin tốt xấu đan xen sẽ phân hóa các ngành cũng như cổ phiếu trên thị trường chứng khoán Việt Nam. </w:t>
      </w:r>
    </w:p>
    <w:p w:rsidR="00DD289D" w:rsidRPr="0033036C" w:rsidRDefault="00DD289D" w:rsidP="00DD289D">
      <w:pPr>
        <w:spacing w:after="120"/>
        <w:jc w:val="both"/>
        <w:rPr>
          <w:rFonts w:ascii="Arial" w:hAnsi="Arial"/>
          <w:sz w:val="20"/>
          <w:szCs w:val="20"/>
        </w:rPr>
      </w:pPr>
      <w:r w:rsidRPr="0033036C">
        <w:rPr>
          <w:rFonts w:ascii="Arial" w:hAnsi="Arial"/>
          <w:sz w:val="20"/>
          <w:szCs w:val="20"/>
        </w:rPr>
        <w:t xml:space="preserve">Các cổ phiếu có thị phần lớn trong nước, nhập khẩu nguyên vật liệu từ thế giới sẽ có lợi khi nhu cầu trong nước vẫn phát triển tốt, giá nguyên vật liệu trong xu hướng giảm khi Trung Quốc là nước sử dụng nhiều nguyên vật liệu nhất đang phát triển chậm lại như ngành Thực phẩm &amp; NGK, Bán lẻ. Các nhóm ngành phụ thuộc vào xuất khẩu, có hàng hóa cạnh tranh với hàng hóa Trung Quốc sẽ bị ảnh hưởng khi Trung Quốc đang trong giai đoạn tái cơ cấu nền kinh tế như ngành Vật liệu thép. </w:t>
      </w:r>
    </w:p>
    <w:p w:rsidR="00DD289D" w:rsidRPr="0033036C" w:rsidRDefault="00DD289D" w:rsidP="00DD289D">
      <w:pPr>
        <w:shd w:val="clear" w:color="auto" w:fill="FFFFFF"/>
        <w:tabs>
          <w:tab w:val="left" w:pos="540"/>
        </w:tabs>
        <w:spacing w:before="120" w:after="0" w:line="240" w:lineRule="auto"/>
        <w:rPr>
          <w:rFonts w:ascii="Arial" w:hAnsi="Arial"/>
          <w:sz w:val="20"/>
          <w:szCs w:val="20"/>
        </w:rPr>
      </w:pPr>
      <w:r w:rsidRPr="0033036C">
        <w:rPr>
          <w:rFonts w:ascii="Arial" w:hAnsi="Arial"/>
          <w:sz w:val="20"/>
          <w:szCs w:val="20"/>
        </w:rPr>
        <w:t xml:space="preserve">Ngoài những công ty có thị phần nội địa lớn hưởng lợi từ việc giá nguyên vật liệu rẻ và nhu cầu trong nước tốt thì những ngành có liên quan đến thị trường bất động sản cũng sẽ tăng trưởng tốt trong năm 2016 khi lượng giao dịch mua bán bất động sản tăng trưởng rất mạnh trong năm 2015. Những ngành </w:t>
      </w:r>
      <w:r w:rsidRPr="0033036C">
        <w:rPr>
          <w:rFonts w:ascii="Arial" w:hAnsi="Arial"/>
          <w:sz w:val="20"/>
          <w:szCs w:val="20"/>
        </w:rPr>
        <w:lastRenderedPageBreak/>
        <w:t>được hưởng lợi khi thị trường bất động sản tăng trưởng là những ngành thuộc sản xuất vật liệu</w:t>
      </w:r>
      <w:r w:rsidRPr="0033036C">
        <w:t xml:space="preserve"> </w:t>
      </w:r>
      <w:r w:rsidRPr="0033036C">
        <w:rPr>
          <w:rFonts w:ascii="Arial" w:hAnsi="Arial"/>
          <w:sz w:val="20"/>
          <w:szCs w:val="20"/>
        </w:rPr>
        <w:t xml:space="preserve">xây dựng, kinh doanh bất động sản, hàng hóa công nghiệp. </w:t>
      </w:r>
    </w:p>
    <w:p w:rsidR="00DD289D" w:rsidRPr="0033036C" w:rsidRDefault="00DD289D" w:rsidP="00DD289D">
      <w:pPr>
        <w:shd w:val="clear" w:color="auto" w:fill="FFFFFF"/>
        <w:tabs>
          <w:tab w:val="left" w:pos="540"/>
        </w:tabs>
        <w:spacing w:before="120" w:after="0" w:line="240" w:lineRule="auto"/>
        <w:rPr>
          <w:rFonts w:ascii="Arial" w:hAnsi="Arial"/>
          <w:sz w:val="20"/>
          <w:szCs w:val="20"/>
        </w:rPr>
      </w:pPr>
      <w:r w:rsidRPr="0033036C">
        <w:rPr>
          <w:rFonts w:ascii="Arial" w:hAnsi="Arial"/>
          <w:sz w:val="20"/>
          <w:szCs w:val="20"/>
        </w:rPr>
        <w:t>Thêm vào đó, với việc gia nhập hàng loạt các hiệp định thương mại song phương và đa phương như FTA, TPP, dòng tiền đầu tư trực tiếp nước ngoài sẽ được thu hút mạnh vào Việt Nam nhằm tận dụng các điều khoản thuế suất cũng như ưu đãi của các nước nằm trong hiệp định. Do đó, hoạt động sản xuất kinh doanh trong nước cũng sẽ được thúc đẩy nhờ vào dòng vốn nước ngoài. Các ngành Vận tải, logistic, Dệt may… cũng có nhiều lợi thế cho tăng trưởng.</w:t>
      </w:r>
    </w:p>
    <w:p w:rsidR="0060532E" w:rsidRPr="0033036C" w:rsidRDefault="0060532E" w:rsidP="0060532E">
      <w:pPr>
        <w:shd w:val="clear" w:color="auto" w:fill="FFFFFF"/>
        <w:tabs>
          <w:tab w:val="left" w:pos="540"/>
        </w:tabs>
        <w:spacing w:before="120" w:after="0" w:line="240" w:lineRule="auto"/>
        <w:rPr>
          <w:rFonts w:ascii="Arial" w:hAnsi="Arial" w:cs="Arial"/>
          <w:b/>
          <w:sz w:val="20"/>
          <w:szCs w:val="26"/>
          <w:lang w:val="nl-NL"/>
        </w:rPr>
      </w:pPr>
      <w:r w:rsidRPr="0033036C">
        <w:rPr>
          <w:rFonts w:ascii="Arial" w:hAnsi="Arial" w:cs="Arial"/>
          <w:b/>
          <w:sz w:val="20"/>
          <w:szCs w:val="26"/>
          <w:lang w:val="nl-NL"/>
        </w:rPr>
        <w:t>VI. Thông tin khác</w:t>
      </w:r>
    </w:p>
    <w:p w:rsidR="0060532E" w:rsidRPr="0033036C" w:rsidRDefault="0060532E" w:rsidP="0060532E">
      <w:pPr>
        <w:shd w:val="clear" w:color="auto" w:fill="FFFFFF"/>
        <w:tabs>
          <w:tab w:val="left" w:pos="540"/>
        </w:tabs>
        <w:spacing w:before="120" w:after="0" w:line="240" w:lineRule="auto"/>
        <w:rPr>
          <w:rFonts w:ascii="Arial" w:hAnsi="Arial" w:cs="Arial"/>
          <w:sz w:val="20"/>
          <w:szCs w:val="26"/>
          <w:lang w:val="nl-NL"/>
        </w:rPr>
      </w:pPr>
      <w:r w:rsidRPr="0033036C">
        <w:rPr>
          <w:rFonts w:ascii="Arial" w:hAnsi="Arial" w:cs="Arial"/>
          <w:sz w:val="20"/>
          <w:szCs w:val="26"/>
          <w:lang w:val="nl-NL"/>
        </w:rPr>
        <w:t>Thông tin về từng nhân sự điều hành quỹ, Ban đại diện quỹ, và Ban điều hành Công ty quản lý Quỹ</w:t>
      </w:r>
    </w:p>
    <w:p w:rsidR="0060532E" w:rsidRPr="0033036C" w:rsidRDefault="0060532E" w:rsidP="0060532E">
      <w:pPr>
        <w:shd w:val="clear" w:color="auto" w:fill="FFFFFF"/>
        <w:tabs>
          <w:tab w:val="left" w:pos="540"/>
        </w:tabs>
        <w:spacing w:before="120" w:after="0" w:line="240" w:lineRule="auto"/>
        <w:rPr>
          <w:rFonts w:ascii="Arial" w:hAnsi="Arial" w:cs="Arial"/>
          <w:sz w:val="20"/>
          <w:szCs w:val="26"/>
          <w:lang w:val="nl-NL"/>
        </w:rPr>
      </w:pPr>
      <w:r w:rsidRPr="0033036C">
        <w:rPr>
          <w:rFonts w:ascii="Arial" w:hAnsi="Arial" w:cs="Arial"/>
          <w:sz w:val="20"/>
          <w:szCs w:val="26"/>
          <w:lang w:val="nl-NL"/>
        </w:rPr>
        <w:t>Thông tin gồm:</w:t>
      </w:r>
    </w:p>
    <w:tbl>
      <w:tblPr>
        <w:tblW w:w="10160" w:type="dxa"/>
        <w:tblCellMar>
          <w:left w:w="0" w:type="dxa"/>
          <w:right w:w="0" w:type="dxa"/>
        </w:tblCellMar>
        <w:tblLook w:val="04A0" w:firstRow="1" w:lastRow="0" w:firstColumn="1" w:lastColumn="0" w:noHBand="0" w:noVBand="1"/>
      </w:tblPr>
      <w:tblGrid>
        <w:gridCol w:w="1867"/>
        <w:gridCol w:w="1868"/>
        <w:gridCol w:w="1868"/>
        <w:gridCol w:w="1868"/>
        <w:gridCol w:w="2689"/>
      </w:tblGrid>
      <w:tr w:rsidR="00055E33" w:rsidRPr="0033036C" w:rsidTr="00FF5374">
        <w:tc>
          <w:tcPr>
            <w:tcW w:w="186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55E33" w:rsidRPr="0033036C" w:rsidRDefault="00055E33">
            <w:pPr>
              <w:spacing w:before="120"/>
              <w:rPr>
                <w:rFonts w:ascii="Arial" w:eastAsiaTheme="minorHAnsi" w:hAnsi="Arial" w:cs="Arial"/>
                <w:sz w:val="20"/>
                <w:szCs w:val="20"/>
                <w:lang w:val="nl-NL"/>
              </w:rPr>
            </w:pPr>
          </w:p>
        </w:tc>
        <w:tc>
          <w:tcPr>
            <w:tcW w:w="18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55E33" w:rsidRPr="0033036C" w:rsidRDefault="00055E33">
            <w:pPr>
              <w:spacing w:before="120"/>
              <w:rPr>
                <w:rFonts w:ascii="Arial" w:hAnsi="Arial" w:cs="Arial"/>
                <w:sz w:val="20"/>
                <w:szCs w:val="20"/>
                <w:lang w:val="nl-NL"/>
              </w:rPr>
            </w:pPr>
            <w:r w:rsidRPr="0033036C">
              <w:rPr>
                <w:rFonts w:ascii="Arial" w:hAnsi="Arial" w:cs="Arial"/>
                <w:sz w:val="20"/>
                <w:szCs w:val="20"/>
                <w:lang w:val="nl-NL"/>
              </w:rPr>
              <w:t>Tên</w:t>
            </w:r>
          </w:p>
        </w:tc>
        <w:tc>
          <w:tcPr>
            <w:tcW w:w="18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55E33" w:rsidRPr="0033036C" w:rsidRDefault="00055E33">
            <w:pPr>
              <w:spacing w:before="120"/>
              <w:rPr>
                <w:rFonts w:ascii="Arial" w:hAnsi="Arial" w:cs="Arial"/>
                <w:sz w:val="20"/>
                <w:szCs w:val="20"/>
                <w:lang w:val="nl-NL"/>
              </w:rPr>
            </w:pPr>
            <w:r w:rsidRPr="0033036C">
              <w:rPr>
                <w:rFonts w:ascii="Arial" w:hAnsi="Arial" w:cs="Arial"/>
                <w:sz w:val="20"/>
                <w:szCs w:val="20"/>
                <w:lang w:val="nl-NL"/>
              </w:rPr>
              <w:t>Chức vụ</w:t>
            </w:r>
          </w:p>
        </w:tc>
        <w:tc>
          <w:tcPr>
            <w:tcW w:w="18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55E33" w:rsidRPr="0033036C" w:rsidRDefault="00055E33">
            <w:pPr>
              <w:spacing w:before="120"/>
              <w:rPr>
                <w:rFonts w:ascii="Arial" w:hAnsi="Arial" w:cs="Arial"/>
                <w:sz w:val="20"/>
                <w:szCs w:val="20"/>
                <w:lang w:val="nl-NL"/>
              </w:rPr>
            </w:pPr>
            <w:r w:rsidRPr="0033036C">
              <w:rPr>
                <w:rFonts w:ascii="Arial" w:hAnsi="Arial" w:cs="Arial"/>
                <w:sz w:val="20"/>
                <w:szCs w:val="20"/>
                <w:lang w:val="nl-NL"/>
              </w:rPr>
              <w:t>Bằng cấp</w:t>
            </w:r>
          </w:p>
        </w:tc>
        <w:tc>
          <w:tcPr>
            <w:tcW w:w="268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55E33" w:rsidRPr="0033036C" w:rsidRDefault="00055E33">
            <w:pPr>
              <w:spacing w:before="120"/>
              <w:rPr>
                <w:rFonts w:ascii="Arial" w:hAnsi="Arial" w:cs="Arial"/>
                <w:sz w:val="20"/>
                <w:szCs w:val="20"/>
                <w:lang w:val="nl-NL"/>
              </w:rPr>
            </w:pPr>
            <w:r w:rsidRPr="0033036C">
              <w:rPr>
                <w:rFonts w:ascii="Arial" w:hAnsi="Arial" w:cs="Arial"/>
                <w:sz w:val="20"/>
                <w:szCs w:val="20"/>
                <w:lang w:val="nl-NL"/>
              </w:rPr>
              <w:t>Quá trình công tác</w:t>
            </w:r>
          </w:p>
        </w:tc>
      </w:tr>
      <w:tr w:rsidR="00055E33" w:rsidRPr="0033036C" w:rsidTr="00FF5374">
        <w:tc>
          <w:tcPr>
            <w:tcW w:w="1867"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55E33" w:rsidRPr="0033036C" w:rsidRDefault="00055E33">
            <w:pPr>
              <w:spacing w:before="120"/>
              <w:rPr>
                <w:rFonts w:ascii="Arial" w:hAnsi="Arial" w:cs="Arial"/>
                <w:sz w:val="20"/>
                <w:szCs w:val="20"/>
                <w:lang w:val="nl-NL"/>
              </w:rPr>
            </w:pPr>
            <w:r w:rsidRPr="0033036C">
              <w:rPr>
                <w:rFonts w:ascii="Arial" w:hAnsi="Arial" w:cs="Arial"/>
                <w:sz w:val="20"/>
                <w:szCs w:val="20"/>
                <w:lang w:val="nl-NL"/>
              </w:rPr>
              <w:t>Nhân sự điều hành Quỹ VFMVF4</w:t>
            </w:r>
          </w:p>
        </w:tc>
        <w:tc>
          <w:tcPr>
            <w:tcW w:w="1868" w:type="dxa"/>
            <w:tcBorders>
              <w:top w:val="nil"/>
              <w:left w:val="nil"/>
              <w:bottom w:val="single" w:sz="8" w:space="0" w:color="auto"/>
              <w:right w:val="single" w:sz="8" w:space="0" w:color="auto"/>
            </w:tcBorders>
            <w:tcMar>
              <w:top w:w="0" w:type="dxa"/>
              <w:left w:w="108" w:type="dxa"/>
              <w:bottom w:w="0" w:type="dxa"/>
              <w:right w:w="108" w:type="dxa"/>
            </w:tcMar>
            <w:hideMark/>
          </w:tcPr>
          <w:p w:rsidR="00055E33" w:rsidRPr="0033036C" w:rsidRDefault="00055E33">
            <w:pPr>
              <w:spacing w:before="120"/>
              <w:rPr>
                <w:rFonts w:ascii="Arial" w:hAnsi="Arial" w:cs="Arial"/>
                <w:sz w:val="20"/>
                <w:szCs w:val="20"/>
                <w:lang w:val="vi-VN"/>
              </w:rPr>
            </w:pPr>
            <w:r w:rsidRPr="0033036C">
              <w:rPr>
                <w:rFonts w:ascii="Arial" w:hAnsi="Arial" w:cs="Arial"/>
                <w:sz w:val="20"/>
                <w:szCs w:val="20"/>
                <w:lang w:val="vi-VN"/>
              </w:rPr>
              <w:t>Lương Thị Mỹ Hạnh</w:t>
            </w:r>
          </w:p>
        </w:tc>
        <w:tc>
          <w:tcPr>
            <w:tcW w:w="1868" w:type="dxa"/>
            <w:tcBorders>
              <w:top w:val="nil"/>
              <w:left w:val="nil"/>
              <w:bottom w:val="single" w:sz="8" w:space="0" w:color="auto"/>
              <w:right w:val="single" w:sz="8" w:space="0" w:color="auto"/>
            </w:tcBorders>
            <w:tcMar>
              <w:top w:w="0" w:type="dxa"/>
              <w:left w:w="108" w:type="dxa"/>
              <w:bottom w:w="0" w:type="dxa"/>
              <w:right w:w="108" w:type="dxa"/>
            </w:tcMar>
            <w:hideMark/>
          </w:tcPr>
          <w:p w:rsidR="00055E33" w:rsidRPr="0033036C" w:rsidRDefault="00055E33">
            <w:pPr>
              <w:spacing w:before="120"/>
              <w:rPr>
                <w:rFonts w:ascii="Arial" w:hAnsi="Arial" w:cs="Arial"/>
                <w:sz w:val="20"/>
                <w:szCs w:val="20"/>
                <w:lang w:val="vi-VN"/>
              </w:rPr>
            </w:pPr>
            <w:r w:rsidRPr="0033036C">
              <w:rPr>
                <w:rFonts w:ascii="Arial" w:hAnsi="Arial" w:cs="Arial"/>
                <w:sz w:val="20"/>
                <w:szCs w:val="20"/>
                <w:lang w:val="vi-VN"/>
              </w:rPr>
              <w:t>Điều hành Quỹ</w:t>
            </w:r>
          </w:p>
        </w:tc>
        <w:tc>
          <w:tcPr>
            <w:tcW w:w="1868" w:type="dxa"/>
            <w:tcBorders>
              <w:top w:val="nil"/>
              <w:left w:val="nil"/>
              <w:bottom w:val="single" w:sz="8" w:space="0" w:color="auto"/>
              <w:right w:val="single" w:sz="8" w:space="0" w:color="auto"/>
            </w:tcBorders>
            <w:tcMar>
              <w:top w:w="0" w:type="dxa"/>
              <w:left w:w="108" w:type="dxa"/>
              <w:bottom w:w="0" w:type="dxa"/>
              <w:right w:w="108" w:type="dxa"/>
            </w:tcMar>
            <w:hideMark/>
          </w:tcPr>
          <w:p w:rsidR="00055E33" w:rsidRPr="0033036C" w:rsidRDefault="00055E33">
            <w:pPr>
              <w:spacing w:before="120"/>
              <w:rPr>
                <w:rFonts w:ascii="Arial" w:hAnsi="Arial" w:cs="Arial"/>
                <w:sz w:val="20"/>
                <w:szCs w:val="20"/>
                <w:lang w:val="vi-VN"/>
              </w:rPr>
            </w:pPr>
            <w:r w:rsidRPr="0033036C">
              <w:rPr>
                <w:rFonts w:ascii="Arial" w:hAnsi="Arial" w:cs="Arial"/>
                <w:sz w:val="20"/>
                <w:szCs w:val="20"/>
                <w:lang w:val="vi-VN"/>
              </w:rPr>
              <w:t>Thạc sỹ Kinh tế</w:t>
            </w:r>
          </w:p>
        </w:tc>
        <w:tc>
          <w:tcPr>
            <w:tcW w:w="2689" w:type="dxa"/>
            <w:tcBorders>
              <w:top w:val="nil"/>
              <w:left w:val="nil"/>
              <w:bottom w:val="single" w:sz="8" w:space="0" w:color="auto"/>
              <w:right w:val="single" w:sz="8" w:space="0" w:color="auto"/>
            </w:tcBorders>
            <w:tcMar>
              <w:top w:w="0" w:type="dxa"/>
              <w:left w:w="108" w:type="dxa"/>
              <w:bottom w:w="0" w:type="dxa"/>
              <w:right w:w="108" w:type="dxa"/>
            </w:tcMar>
            <w:hideMark/>
          </w:tcPr>
          <w:p w:rsidR="00055E33" w:rsidRPr="0033036C" w:rsidRDefault="00055E33" w:rsidP="00055E33">
            <w:pPr>
              <w:pStyle w:val="ListParagraph"/>
              <w:numPr>
                <w:ilvl w:val="0"/>
                <w:numId w:val="3"/>
              </w:numPr>
              <w:spacing w:before="120" w:after="0" w:line="240" w:lineRule="auto"/>
              <w:ind w:left="331"/>
              <w:rPr>
                <w:rFonts w:ascii="Arial" w:hAnsi="Arial" w:cs="Arial"/>
                <w:sz w:val="20"/>
                <w:szCs w:val="20"/>
                <w:lang w:val="nl-NL"/>
              </w:rPr>
            </w:pPr>
            <w:r w:rsidRPr="0033036C">
              <w:rPr>
                <w:rFonts w:ascii="Arial" w:hAnsi="Arial" w:cs="Arial"/>
                <w:sz w:val="20"/>
                <w:szCs w:val="20"/>
                <w:lang w:val="vi-VN"/>
              </w:rPr>
              <w:t>Từ 2010 đến nay: Phó tổng giám đốc – Khối đầu tư nghiên cứu Công ty CP quản lý quỹ đầu tư Việt Nam</w:t>
            </w:r>
          </w:p>
        </w:tc>
      </w:tr>
      <w:tr w:rsidR="00055E33" w:rsidRPr="0033036C" w:rsidTr="00FF5374">
        <w:tc>
          <w:tcPr>
            <w:tcW w:w="0" w:type="auto"/>
            <w:vMerge/>
            <w:tcBorders>
              <w:top w:val="nil"/>
              <w:left w:val="single" w:sz="8" w:space="0" w:color="auto"/>
              <w:bottom w:val="single" w:sz="8" w:space="0" w:color="auto"/>
              <w:right w:val="single" w:sz="8" w:space="0" w:color="auto"/>
            </w:tcBorders>
            <w:vAlign w:val="center"/>
            <w:hideMark/>
          </w:tcPr>
          <w:p w:rsidR="00055E33" w:rsidRPr="0033036C" w:rsidRDefault="00055E33">
            <w:pPr>
              <w:rPr>
                <w:rFonts w:ascii="Arial" w:eastAsiaTheme="minorHAnsi" w:hAnsi="Arial" w:cs="Arial"/>
                <w:sz w:val="20"/>
                <w:szCs w:val="20"/>
                <w:lang w:val="nl-NL"/>
              </w:rPr>
            </w:pPr>
          </w:p>
        </w:tc>
        <w:tc>
          <w:tcPr>
            <w:tcW w:w="1868" w:type="dxa"/>
            <w:tcBorders>
              <w:top w:val="nil"/>
              <w:left w:val="nil"/>
              <w:bottom w:val="single" w:sz="8" w:space="0" w:color="auto"/>
              <w:right w:val="single" w:sz="8" w:space="0" w:color="auto"/>
            </w:tcBorders>
            <w:tcMar>
              <w:top w:w="0" w:type="dxa"/>
              <w:left w:w="108" w:type="dxa"/>
              <w:bottom w:w="0" w:type="dxa"/>
              <w:right w:w="108" w:type="dxa"/>
            </w:tcMar>
            <w:hideMark/>
          </w:tcPr>
          <w:p w:rsidR="00055E33" w:rsidRPr="0033036C" w:rsidRDefault="00055E33">
            <w:pPr>
              <w:spacing w:before="120"/>
              <w:rPr>
                <w:rFonts w:ascii="Arial" w:hAnsi="Arial" w:cs="Arial"/>
                <w:sz w:val="20"/>
                <w:szCs w:val="20"/>
                <w:lang w:val="vi-VN"/>
              </w:rPr>
            </w:pPr>
            <w:r w:rsidRPr="0033036C">
              <w:rPr>
                <w:rFonts w:ascii="Arial" w:hAnsi="Arial" w:cs="Arial"/>
                <w:sz w:val="20"/>
                <w:szCs w:val="20"/>
                <w:lang w:val="vi-VN"/>
              </w:rPr>
              <w:t>Trần Lê Minh</w:t>
            </w:r>
          </w:p>
        </w:tc>
        <w:tc>
          <w:tcPr>
            <w:tcW w:w="1868" w:type="dxa"/>
            <w:tcBorders>
              <w:top w:val="nil"/>
              <w:left w:val="nil"/>
              <w:bottom w:val="single" w:sz="8" w:space="0" w:color="auto"/>
              <w:right w:val="single" w:sz="8" w:space="0" w:color="auto"/>
            </w:tcBorders>
            <w:tcMar>
              <w:top w:w="0" w:type="dxa"/>
              <w:left w:w="108" w:type="dxa"/>
              <w:bottom w:w="0" w:type="dxa"/>
              <w:right w:w="108" w:type="dxa"/>
            </w:tcMar>
            <w:hideMark/>
          </w:tcPr>
          <w:p w:rsidR="00055E33" w:rsidRPr="0033036C" w:rsidRDefault="00055E33">
            <w:pPr>
              <w:spacing w:before="120"/>
              <w:rPr>
                <w:rFonts w:ascii="Arial" w:hAnsi="Arial" w:cs="Arial"/>
                <w:sz w:val="20"/>
                <w:szCs w:val="20"/>
                <w:lang w:val="nl-NL"/>
              </w:rPr>
            </w:pPr>
            <w:r w:rsidRPr="0033036C">
              <w:rPr>
                <w:rFonts w:ascii="Arial" w:hAnsi="Arial" w:cs="Arial"/>
                <w:sz w:val="20"/>
                <w:szCs w:val="20"/>
                <w:lang w:val="vi-VN"/>
              </w:rPr>
              <w:t>Điều hành Quỹ</w:t>
            </w:r>
          </w:p>
        </w:tc>
        <w:tc>
          <w:tcPr>
            <w:tcW w:w="1868" w:type="dxa"/>
            <w:tcBorders>
              <w:top w:val="nil"/>
              <w:left w:val="nil"/>
              <w:bottom w:val="single" w:sz="8" w:space="0" w:color="auto"/>
              <w:right w:val="single" w:sz="8" w:space="0" w:color="auto"/>
            </w:tcBorders>
            <w:tcMar>
              <w:top w:w="0" w:type="dxa"/>
              <w:left w:w="108" w:type="dxa"/>
              <w:bottom w:w="0" w:type="dxa"/>
              <w:right w:w="108" w:type="dxa"/>
            </w:tcMar>
            <w:hideMark/>
          </w:tcPr>
          <w:p w:rsidR="00055E33" w:rsidRPr="0033036C" w:rsidRDefault="00055E33">
            <w:pPr>
              <w:spacing w:before="120"/>
              <w:rPr>
                <w:rFonts w:ascii="Arial" w:hAnsi="Arial" w:cs="Arial"/>
                <w:sz w:val="20"/>
                <w:szCs w:val="20"/>
                <w:lang w:val="vi-VN"/>
              </w:rPr>
            </w:pPr>
            <w:r w:rsidRPr="0033036C">
              <w:rPr>
                <w:rFonts w:ascii="Arial" w:hAnsi="Arial" w:cs="Arial"/>
                <w:sz w:val="20"/>
                <w:szCs w:val="20"/>
                <w:lang w:val="vi-VN"/>
              </w:rPr>
              <w:t>Thạc sỹ Quản trị Tài chính</w:t>
            </w:r>
          </w:p>
        </w:tc>
        <w:tc>
          <w:tcPr>
            <w:tcW w:w="2689" w:type="dxa"/>
            <w:tcBorders>
              <w:top w:val="nil"/>
              <w:left w:val="nil"/>
              <w:bottom w:val="single" w:sz="8" w:space="0" w:color="auto"/>
              <w:right w:val="single" w:sz="8" w:space="0" w:color="auto"/>
            </w:tcBorders>
            <w:tcMar>
              <w:top w:w="0" w:type="dxa"/>
              <w:left w:w="108" w:type="dxa"/>
              <w:bottom w:w="0" w:type="dxa"/>
              <w:right w:w="108" w:type="dxa"/>
            </w:tcMar>
            <w:hideMark/>
          </w:tcPr>
          <w:p w:rsidR="00055E33" w:rsidRPr="0033036C" w:rsidRDefault="00055E33" w:rsidP="00055E33">
            <w:pPr>
              <w:pStyle w:val="ListParagraph"/>
              <w:numPr>
                <w:ilvl w:val="0"/>
                <w:numId w:val="3"/>
              </w:numPr>
              <w:spacing w:before="120" w:after="0" w:line="240" w:lineRule="auto"/>
              <w:ind w:left="331"/>
              <w:rPr>
                <w:rFonts w:ascii="Arial" w:hAnsi="Arial" w:cs="Arial"/>
                <w:sz w:val="20"/>
                <w:szCs w:val="20"/>
                <w:lang w:val="nl-NL"/>
              </w:rPr>
            </w:pPr>
            <w:r w:rsidRPr="0033036C">
              <w:rPr>
                <w:rFonts w:ascii="Arial" w:hAnsi="Arial" w:cs="Arial"/>
                <w:sz w:val="20"/>
                <w:szCs w:val="20"/>
                <w:lang w:val="vi-VN"/>
              </w:rPr>
              <w:t>Từ 2011 đến nay: Phó Tổng giám đốc – Giám đốc chi nhánh Hà Nội – công ty CP quản lý quỹ đầu tư Việt Nam</w:t>
            </w:r>
          </w:p>
        </w:tc>
      </w:tr>
      <w:tr w:rsidR="00055E33" w:rsidRPr="0033036C" w:rsidTr="00FF5374">
        <w:tc>
          <w:tcPr>
            <w:tcW w:w="1867"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55E33" w:rsidRPr="0033036C" w:rsidRDefault="00055E33">
            <w:pPr>
              <w:spacing w:before="120"/>
              <w:rPr>
                <w:rFonts w:ascii="Arial" w:hAnsi="Arial" w:cs="Arial"/>
                <w:sz w:val="20"/>
                <w:szCs w:val="20"/>
                <w:lang w:val="nl-NL"/>
              </w:rPr>
            </w:pPr>
            <w:r w:rsidRPr="0033036C">
              <w:rPr>
                <w:rFonts w:ascii="Arial" w:hAnsi="Arial" w:cs="Arial"/>
                <w:sz w:val="20"/>
                <w:szCs w:val="20"/>
                <w:lang w:val="nl-NL"/>
              </w:rPr>
              <w:t>Ban đại diện Quỹ</w:t>
            </w:r>
          </w:p>
        </w:tc>
        <w:tc>
          <w:tcPr>
            <w:tcW w:w="1868" w:type="dxa"/>
            <w:tcBorders>
              <w:top w:val="nil"/>
              <w:left w:val="nil"/>
              <w:bottom w:val="single" w:sz="8" w:space="0" w:color="auto"/>
              <w:right w:val="single" w:sz="8" w:space="0" w:color="auto"/>
            </w:tcBorders>
            <w:tcMar>
              <w:top w:w="0" w:type="dxa"/>
              <w:left w:w="108" w:type="dxa"/>
              <w:bottom w:w="0" w:type="dxa"/>
              <w:right w:w="108" w:type="dxa"/>
            </w:tcMar>
            <w:hideMark/>
          </w:tcPr>
          <w:p w:rsidR="00055E33" w:rsidRPr="0033036C" w:rsidRDefault="00055E33">
            <w:pPr>
              <w:spacing w:before="120"/>
              <w:rPr>
                <w:rFonts w:ascii="Arial" w:hAnsi="Arial" w:cs="Arial"/>
                <w:sz w:val="20"/>
                <w:szCs w:val="20"/>
                <w:lang w:val="nl-NL"/>
              </w:rPr>
            </w:pPr>
            <w:r w:rsidRPr="0033036C">
              <w:rPr>
                <w:rFonts w:ascii="Arial" w:hAnsi="Arial" w:cs="Arial"/>
                <w:sz w:val="20"/>
                <w:szCs w:val="20"/>
                <w:lang w:val="nl-NL"/>
              </w:rPr>
              <w:t>Đặng Thái Nguyên</w:t>
            </w:r>
          </w:p>
        </w:tc>
        <w:tc>
          <w:tcPr>
            <w:tcW w:w="1868" w:type="dxa"/>
            <w:tcBorders>
              <w:top w:val="nil"/>
              <w:left w:val="nil"/>
              <w:bottom w:val="single" w:sz="8" w:space="0" w:color="auto"/>
              <w:right w:val="single" w:sz="8" w:space="0" w:color="auto"/>
            </w:tcBorders>
            <w:tcMar>
              <w:top w:w="0" w:type="dxa"/>
              <w:left w:w="108" w:type="dxa"/>
              <w:bottom w:w="0" w:type="dxa"/>
              <w:right w:w="108" w:type="dxa"/>
            </w:tcMar>
            <w:hideMark/>
          </w:tcPr>
          <w:p w:rsidR="00055E33" w:rsidRPr="0033036C" w:rsidRDefault="00055E33">
            <w:pPr>
              <w:spacing w:before="120"/>
              <w:rPr>
                <w:rFonts w:ascii="Arial" w:hAnsi="Arial" w:cs="Arial"/>
                <w:sz w:val="20"/>
                <w:szCs w:val="20"/>
                <w:lang w:val="nl-NL"/>
              </w:rPr>
            </w:pPr>
            <w:r w:rsidRPr="0033036C">
              <w:rPr>
                <w:rFonts w:ascii="Arial" w:hAnsi="Arial" w:cs="Arial"/>
                <w:sz w:val="20"/>
                <w:szCs w:val="20"/>
                <w:lang w:val="nl-NL"/>
              </w:rPr>
              <w:t xml:space="preserve">Chủ tịch </w:t>
            </w:r>
          </w:p>
        </w:tc>
        <w:tc>
          <w:tcPr>
            <w:tcW w:w="1868" w:type="dxa"/>
            <w:tcBorders>
              <w:top w:val="nil"/>
              <w:left w:val="nil"/>
              <w:bottom w:val="single" w:sz="8" w:space="0" w:color="auto"/>
              <w:right w:val="single" w:sz="8" w:space="0" w:color="auto"/>
            </w:tcBorders>
            <w:tcMar>
              <w:top w:w="0" w:type="dxa"/>
              <w:left w:w="108" w:type="dxa"/>
              <w:bottom w:w="0" w:type="dxa"/>
              <w:right w:w="108" w:type="dxa"/>
            </w:tcMar>
            <w:hideMark/>
          </w:tcPr>
          <w:p w:rsidR="00055E33" w:rsidRPr="0033036C" w:rsidRDefault="00055E33">
            <w:pPr>
              <w:spacing w:before="120"/>
              <w:rPr>
                <w:rFonts w:ascii="Arial" w:hAnsi="Arial" w:cs="Arial"/>
                <w:sz w:val="20"/>
                <w:szCs w:val="20"/>
                <w:lang w:val="nl-NL"/>
              </w:rPr>
            </w:pPr>
            <w:r w:rsidRPr="0033036C">
              <w:rPr>
                <w:rFonts w:ascii="Arial" w:hAnsi="Arial" w:cs="Arial"/>
                <w:sz w:val="20"/>
                <w:szCs w:val="20"/>
                <w:lang w:val="nl-NL"/>
              </w:rPr>
              <w:t>Thạc sỹ Quản trị kinh doanh Quốc tế</w:t>
            </w:r>
          </w:p>
        </w:tc>
        <w:tc>
          <w:tcPr>
            <w:tcW w:w="2689" w:type="dxa"/>
            <w:tcBorders>
              <w:top w:val="nil"/>
              <w:left w:val="nil"/>
              <w:bottom w:val="single" w:sz="8" w:space="0" w:color="auto"/>
              <w:right w:val="single" w:sz="8" w:space="0" w:color="auto"/>
            </w:tcBorders>
            <w:tcMar>
              <w:top w:w="0" w:type="dxa"/>
              <w:left w:w="108" w:type="dxa"/>
              <w:bottom w:w="0" w:type="dxa"/>
              <w:right w:w="108" w:type="dxa"/>
            </w:tcMar>
          </w:tcPr>
          <w:p w:rsidR="00055E33" w:rsidRPr="0033036C" w:rsidRDefault="00055E33" w:rsidP="00055E33">
            <w:pPr>
              <w:pStyle w:val="ListParagraph"/>
              <w:numPr>
                <w:ilvl w:val="0"/>
                <w:numId w:val="4"/>
              </w:numPr>
              <w:spacing w:before="120" w:after="0" w:line="240" w:lineRule="auto"/>
              <w:ind w:left="421"/>
              <w:rPr>
                <w:rFonts w:ascii="Arial" w:hAnsi="Arial" w:cs="Arial"/>
                <w:sz w:val="20"/>
                <w:szCs w:val="20"/>
                <w:lang w:val="nl-NL"/>
              </w:rPr>
            </w:pPr>
            <w:r w:rsidRPr="0033036C">
              <w:rPr>
                <w:rFonts w:ascii="Arial" w:hAnsi="Arial" w:cs="Arial"/>
                <w:sz w:val="20"/>
                <w:szCs w:val="20"/>
                <w:lang w:val="nl-NL"/>
              </w:rPr>
              <w:t>Từ 2003 đến 2006: Giám đốc Ngân hàng TMCP Bắc Á – CN Thanh Hóa</w:t>
            </w:r>
          </w:p>
          <w:p w:rsidR="00055E33" w:rsidRPr="0033036C" w:rsidRDefault="00055E33" w:rsidP="00055E33">
            <w:pPr>
              <w:pStyle w:val="ListParagraph"/>
              <w:numPr>
                <w:ilvl w:val="0"/>
                <w:numId w:val="4"/>
              </w:numPr>
              <w:spacing w:before="120" w:after="0" w:line="240" w:lineRule="auto"/>
              <w:ind w:left="421"/>
              <w:rPr>
                <w:rFonts w:ascii="Arial" w:hAnsi="Arial" w:cs="Arial"/>
                <w:sz w:val="20"/>
                <w:szCs w:val="20"/>
                <w:lang w:val="nl-NL"/>
              </w:rPr>
            </w:pPr>
            <w:r w:rsidRPr="0033036C">
              <w:rPr>
                <w:rFonts w:ascii="Arial" w:hAnsi="Arial" w:cs="Arial"/>
                <w:sz w:val="20"/>
                <w:szCs w:val="20"/>
                <w:lang w:val="nl-NL"/>
              </w:rPr>
              <w:t>Từ 2006 đến nay: Tổng giám đốc Công ty CP Chứng khoán Việt</w:t>
            </w:r>
          </w:p>
          <w:p w:rsidR="00055E33" w:rsidRPr="0033036C" w:rsidRDefault="00055E33">
            <w:pPr>
              <w:pStyle w:val="ListParagraph"/>
              <w:spacing w:before="120" w:after="0" w:line="240" w:lineRule="auto"/>
              <w:ind w:left="331"/>
              <w:rPr>
                <w:rFonts w:ascii="Arial" w:hAnsi="Arial" w:cs="Arial"/>
                <w:sz w:val="20"/>
                <w:szCs w:val="20"/>
                <w:lang w:val="nl-NL"/>
              </w:rPr>
            </w:pPr>
          </w:p>
        </w:tc>
      </w:tr>
      <w:tr w:rsidR="00055E33" w:rsidRPr="0033036C" w:rsidTr="00FF5374">
        <w:tc>
          <w:tcPr>
            <w:tcW w:w="0" w:type="auto"/>
            <w:vMerge/>
            <w:tcBorders>
              <w:top w:val="nil"/>
              <w:left w:val="single" w:sz="8" w:space="0" w:color="auto"/>
              <w:bottom w:val="single" w:sz="8" w:space="0" w:color="auto"/>
              <w:right w:val="single" w:sz="8" w:space="0" w:color="auto"/>
            </w:tcBorders>
            <w:vAlign w:val="center"/>
            <w:hideMark/>
          </w:tcPr>
          <w:p w:rsidR="00055E33" w:rsidRPr="0033036C" w:rsidRDefault="00055E33">
            <w:pPr>
              <w:rPr>
                <w:rFonts w:ascii="Arial" w:eastAsiaTheme="minorHAnsi" w:hAnsi="Arial" w:cs="Arial"/>
                <w:sz w:val="20"/>
                <w:szCs w:val="20"/>
                <w:lang w:val="nl-NL"/>
              </w:rPr>
            </w:pPr>
          </w:p>
        </w:tc>
        <w:tc>
          <w:tcPr>
            <w:tcW w:w="1868" w:type="dxa"/>
            <w:tcBorders>
              <w:top w:val="nil"/>
              <w:left w:val="nil"/>
              <w:bottom w:val="single" w:sz="8" w:space="0" w:color="auto"/>
              <w:right w:val="single" w:sz="8" w:space="0" w:color="auto"/>
            </w:tcBorders>
            <w:tcMar>
              <w:top w:w="0" w:type="dxa"/>
              <w:left w:w="108" w:type="dxa"/>
              <w:bottom w:w="0" w:type="dxa"/>
              <w:right w:w="108" w:type="dxa"/>
            </w:tcMar>
            <w:hideMark/>
          </w:tcPr>
          <w:p w:rsidR="00055E33" w:rsidRPr="0033036C" w:rsidRDefault="00055E33">
            <w:pPr>
              <w:spacing w:before="120"/>
              <w:rPr>
                <w:rFonts w:ascii="Arial" w:hAnsi="Arial" w:cs="Arial"/>
                <w:sz w:val="20"/>
                <w:szCs w:val="20"/>
                <w:lang w:val="vi-VN"/>
              </w:rPr>
            </w:pPr>
            <w:r w:rsidRPr="0033036C">
              <w:rPr>
                <w:rFonts w:ascii="Arial" w:hAnsi="Arial" w:cs="Arial"/>
                <w:sz w:val="20"/>
                <w:szCs w:val="20"/>
                <w:lang w:val="vi-VN"/>
              </w:rPr>
              <w:t>Lê Trung Thành</w:t>
            </w:r>
          </w:p>
        </w:tc>
        <w:tc>
          <w:tcPr>
            <w:tcW w:w="1868" w:type="dxa"/>
            <w:tcBorders>
              <w:top w:val="nil"/>
              <w:left w:val="nil"/>
              <w:bottom w:val="single" w:sz="8" w:space="0" w:color="auto"/>
              <w:right w:val="single" w:sz="8" w:space="0" w:color="auto"/>
            </w:tcBorders>
            <w:tcMar>
              <w:top w:w="0" w:type="dxa"/>
              <w:left w:w="108" w:type="dxa"/>
              <w:bottom w:w="0" w:type="dxa"/>
              <w:right w:w="108" w:type="dxa"/>
            </w:tcMar>
            <w:hideMark/>
          </w:tcPr>
          <w:p w:rsidR="00055E33" w:rsidRPr="0033036C" w:rsidRDefault="00055E33">
            <w:pPr>
              <w:spacing w:before="120"/>
              <w:rPr>
                <w:rFonts w:ascii="Arial" w:hAnsi="Arial" w:cs="Arial"/>
                <w:sz w:val="20"/>
                <w:szCs w:val="20"/>
                <w:lang w:val="vi-VN"/>
              </w:rPr>
            </w:pPr>
            <w:r w:rsidRPr="0033036C">
              <w:rPr>
                <w:rFonts w:ascii="Arial" w:hAnsi="Arial" w:cs="Arial"/>
                <w:sz w:val="20"/>
                <w:szCs w:val="20"/>
                <w:lang w:val="vi-VN"/>
              </w:rPr>
              <w:t>Thành viên</w:t>
            </w:r>
          </w:p>
        </w:tc>
        <w:tc>
          <w:tcPr>
            <w:tcW w:w="1868" w:type="dxa"/>
            <w:tcBorders>
              <w:top w:val="nil"/>
              <w:left w:val="nil"/>
              <w:bottom w:val="single" w:sz="8" w:space="0" w:color="auto"/>
              <w:right w:val="single" w:sz="8" w:space="0" w:color="auto"/>
            </w:tcBorders>
            <w:tcMar>
              <w:top w:w="0" w:type="dxa"/>
              <w:left w:w="108" w:type="dxa"/>
              <w:bottom w:w="0" w:type="dxa"/>
              <w:right w:w="108" w:type="dxa"/>
            </w:tcMar>
            <w:hideMark/>
          </w:tcPr>
          <w:p w:rsidR="00055E33" w:rsidRPr="0033036C" w:rsidRDefault="00055E33">
            <w:pPr>
              <w:spacing w:before="120"/>
              <w:rPr>
                <w:rFonts w:ascii="Arial" w:hAnsi="Arial" w:cs="Arial"/>
                <w:sz w:val="20"/>
                <w:szCs w:val="20"/>
                <w:lang w:val="vi-VN"/>
              </w:rPr>
            </w:pPr>
            <w:r w:rsidRPr="0033036C">
              <w:rPr>
                <w:rFonts w:ascii="Arial" w:hAnsi="Arial" w:cs="Arial"/>
                <w:sz w:val="20"/>
                <w:szCs w:val="20"/>
                <w:lang w:val="vi-VN"/>
              </w:rPr>
              <w:t>Cử nhân cao cấp chính trị - Cử nhân quản trị kinh doanh</w:t>
            </w:r>
          </w:p>
        </w:tc>
        <w:tc>
          <w:tcPr>
            <w:tcW w:w="2689" w:type="dxa"/>
            <w:tcBorders>
              <w:top w:val="nil"/>
              <w:left w:val="nil"/>
              <w:bottom w:val="single" w:sz="8" w:space="0" w:color="auto"/>
              <w:right w:val="single" w:sz="8" w:space="0" w:color="auto"/>
            </w:tcBorders>
            <w:tcMar>
              <w:top w:w="0" w:type="dxa"/>
              <w:left w:w="108" w:type="dxa"/>
              <w:bottom w:w="0" w:type="dxa"/>
              <w:right w:w="108" w:type="dxa"/>
            </w:tcMar>
            <w:hideMark/>
          </w:tcPr>
          <w:p w:rsidR="00055E33" w:rsidRPr="0033036C" w:rsidRDefault="00055E33" w:rsidP="00055E33">
            <w:pPr>
              <w:pStyle w:val="ListParagraph"/>
              <w:numPr>
                <w:ilvl w:val="0"/>
                <w:numId w:val="4"/>
              </w:numPr>
              <w:spacing w:before="120" w:after="0" w:line="240" w:lineRule="auto"/>
              <w:ind w:left="421"/>
              <w:rPr>
                <w:rFonts w:ascii="Arial" w:hAnsi="Arial" w:cs="Arial"/>
                <w:sz w:val="20"/>
                <w:szCs w:val="20"/>
                <w:lang w:val="nl-NL"/>
              </w:rPr>
            </w:pPr>
            <w:r w:rsidRPr="0033036C">
              <w:rPr>
                <w:rFonts w:ascii="Arial" w:hAnsi="Arial" w:cs="Arial"/>
                <w:sz w:val="20"/>
                <w:szCs w:val="20"/>
                <w:lang w:val="vi-VN"/>
              </w:rPr>
              <w:t>Từ 2004 đến nay: Phó tổng giám đốc công ty CP mía đường Lam Sơn</w:t>
            </w:r>
          </w:p>
          <w:p w:rsidR="00055E33" w:rsidRPr="0033036C" w:rsidRDefault="00055E33" w:rsidP="00055E33">
            <w:pPr>
              <w:pStyle w:val="ListParagraph"/>
              <w:numPr>
                <w:ilvl w:val="0"/>
                <w:numId w:val="4"/>
              </w:numPr>
              <w:spacing w:before="120" w:after="0" w:line="240" w:lineRule="auto"/>
              <w:ind w:left="421"/>
              <w:rPr>
                <w:rFonts w:ascii="Arial" w:hAnsi="Arial" w:cs="Arial"/>
                <w:sz w:val="20"/>
                <w:szCs w:val="20"/>
                <w:lang w:val="nl-NL"/>
              </w:rPr>
            </w:pPr>
            <w:r w:rsidRPr="0033036C">
              <w:rPr>
                <w:rFonts w:ascii="Arial" w:hAnsi="Arial" w:cs="Arial"/>
                <w:sz w:val="20"/>
                <w:szCs w:val="20"/>
                <w:lang w:val="vi-VN"/>
              </w:rPr>
              <w:t>Từ 2010 đến nay: Giám đốc công ty TNHH Đầu tư thương mại du lịch Lam Sơn</w:t>
            </w:r>
          </w:p>
        </w:tc>
      </w:tr>
      <w:tr w:rsidR="00055E33" w:rsidRPr="0033036C" w:rsidTr="00FF5374">
        <w:tc>
          <w:tcPr>
            <w:tcW w:w="0" w:type="auto"/>
            <w:vMerge/>
            <w:tcBorders>
              <w:top w:val="nil"/>
              <w:left w:val="single" w:sz="8" w:space="0" w:color="auto"/>
              <w:bottom w:val="single" w:sz="8" w:space="0" w:color="auto"/>
              <w:right w:val="single" w:sz="8" w:space="0" w:color="auto"/>
            </w:tcBorders>
            <w:vAlign w:val="center"/>
            <w:hideMark/>
          </w:tcPr>
          <w:p w:rsidR="00055E33" w:rsidRPr="0033036C" w:rsidRDefault="00055E33">
            <w:pPr>
              <w:rPr>
                <w:rFonts w:ascii="Arial" w:eastAsiaTheme="minorHAnsi" w:hAnsi="Arial" w:cs="Arial"/>
                <w:sz w:val="20"/>
                <w:szCs w:val="20"/>
                <w:lang w:val="nl-NL"/>
              </w:rPr>
            </w:pPr>
          </w:p>
        </w:tc>
        <w:tc>
          <w:tcPr>
            <w:tcW w:w="1868" w:type="dxa"/>
            <w:tcBorders>
              <w:top w:val="nil"/>
              <w:left w:val="nil"/>
              <w:bottom w:val="single" w:sz="8" w:space="0" w:color="auto"/>
              <w:right w:val="single" w:sz="8" w:space="0" w:color="auto"/>
            </w:tcBorders>
            <w:tcMar>
              <w:top w:w="0" w:type="dxa"/>
              <w:left w:w="108" w:type="dxa"/>
              <w:bottom w:w="0" w:type="dxa"/>
              <w:right w:w="108" w:type="dxa"/>
            </w:tcMar>
            <w:hideMark/>
          </w:tcPr>
          <w:p w:rsidR="00055E33" w:rsidRPr="0033036C" w:rsidRDefault="00055E33">
            <w:pPr>
              <w:spacing w:before="120"/>
              <w:rPr>
                <w:rFonts w:ascii="Arial" w:hAnsi="Arial" w:cs="Arial"/>
                <w:sz w:val="20"/>
                <w:szCs w:val="20"/>
                <w:lang w:val="nl-NL"/>
              </w:rPr>
            </w:pPr>
            <w:r w:rsidRPr="0033036C">
              <w:rPr>
                <w:rFonts w:ascii="Arial" w:hAnsi="Arial" w:cs="Arial"/>
                <w:sz w:val="20"/>
                <w:szCs w:val="20"/>
                <w:lang w:val="nl-NL"/>
              </w:rPr>
              <w:t>Lê Thị Thu Hương</w:t>
            </w:r>
          </w:p>
        </w:tc>
        <w:tc>
          <w:tcPr>
            <w:tcW w:w="1868" w:type="dxa"/>
            <w:tcBorders>
              <w:top w:val="nil"/>
              <w:left w:val="nil"/>
              <w:bottom w:val="single" w:sz="8" w:space="0" w:color="auto"/>
              <w:right w:val="single" w:sz="8" w:space="0" w:color="auto"/>
            </w:tcBorders>
            <w:tcMar>
              <w:top w:w="0" w:type="dxa"/>
              <w:left w:w="108" w:type="dxa"/>
              <w:bottom w:w="0" w:type="dxa"/>
              <w:right w:w="108" w:type="dxa"/>
            </w:tcMar>
            <w:hideMark/>
          </w:tcPr>
          <w:p w:rsidR="00055E33" w:rsidRPr="0033036C" w:rsidRDefault="00055E33">
            <w:pPr>
              <w:spacing w:before="120"/>
              <w:rPr>
                <w:rFonts w:ascii="Arial" w:hAnsi="Arial" w:cs="Arial"/>
                <w:sz w:val="20"/>
                <w:szCs w:val="20"/>
                <w:lang w:val="nl-NL"/>
              </w:rPr>
            </w:pPr>
            <w:r w:rsidRPr="0033036C">
              <w:rPr>
                <w:rFonts w:ascii="Arial" w:hAnsi="Arial" w:cs="Arial"/>
                <w:sz w:val="20"/>
                <w:szCs w:val="20"/>
                <w:lang w:val="nl-NL"/>
              </w:rPr>
              <w:t>Thành viên</w:t>
            </w:r>
          </w:p>
        </w:tc>
        <w:tc>
          <w:tcPr>
            <w:tcW w:w="1868" w:type="dxa"/>
            <w:tcBorders>
              <w:top w:val="nil"/>
              <w:left w:val="nil"/>
              <w:bottom w:val="single" w:sz="8" w:space="0" w:color="auto"/>
              <w:right w:val="single" w:sz="8" w:space="0" w:color="auto"/>
            </w:tcBorders>
            <w:tcMar>
              <w:top w:w="0" w:type="dxa"/>
              <w:left w:w="108" w:type="dxa"/>
              <w:bottom w:w="0" w:type="dxa"/>
              <w:right w:w="108" w:type="dxa"/>
            </w:tcMar>
            <w:hideMark/>
          </w:tcPr>
          <w:p w:rsidR="00055E33" w:rsidRPr="0033036C" w:rsidRDefault="00055E33">
            <w:pPr>
              <w:spacing w:before="120"/>
              <w:rPr>
                <w:rFonts w:ascii="Arial" w:hAnsi="Arial" w:cs="Arial"/>
                <w:sz w:val="20"/>
                <w:szCs w:val="20"/>
                <w:lang w:val="nl-NL"/>
              </w:rPr>
            </w:pPr>
            <w:r w:rsidRPr="0033036C">
              <w:rPr>
                <w:rFonts w:ascii="Arial" w:hAnsi="Arial" w:cs="Arial"/>
                <w:sz w:val="20"/>
                <w:szCs w:val="20"/>
                <w:lang w:val="nl-NL"/>
              </w:rPr>
              <w:t>Cử nhân Kế toán – Kiểm toán</w:t>
            </w:r>
          </w:p>
        </w:tc>
        <w:tc>
          <w:tcPr>
            <w:tcW w:w="2689" w:type="dxa"/>
            <w:tcBorders>
              <w:top w:val="nil"/>
              <w:left w:val="nil"/>
              <w:bottom w:val="single" w:sz="8" w:space="0" w:color="auto"/>
              <w:right w:val="single" w:sz="8" w:space="0" w:color="auto"/>
            </w:tcBorders>
            <w:tcMar>
              <w:top w:w="0" w:type="dxa"/>
              <w:left w:w="108" w:type="dxa"/>
              <w:bottom w:w="0" w:type="dxa"/>
              <w:right w:w="108" w:type="dxa"/>
            </w:tcMar>
            <w:hideMark/>
          </w:tcPr>
          <w:p w:rsidR="00055E33" w:rsidRPr="0033036C" w:rsidRDefault="00055E33" w:rsidP="00055E33">
            <w:pPr>
              <w:pStyle w:val="ListParagraph"/>
              <w:numPr>
                <w:ilvl w:val="0"/>
                <w:numId w:val="4"/>
              </w:numPr>
              <w:spacing w:before="120" w:after="0" w:line="240" w:lineRule="auto"/>
              <w:ind w:left="331"/>
              <w:rPr>
                <w:rFonts w:ascii="Arial" w:hAnsi="Arial" w:cs="Arial"/>
                <w:sz w:val="20"/>
                <w:szCs w:val="20"/>
                <w:lang w:val="nl-NL"/>
              </w:rPr>
            </w:pPr>
            <w:r w:rsidRPr="0033036C">
              <w:rPr>
                <w:rFonts w:ascii="Arial" w:hAnsi="Arial" w:cs="Arial"/>
                <w:sz w:val="20"/>
                <w:szCs w:val="20"/>
                <w:lang w:val="nl-NL"/>
              </w:rPr>
              <w:t>Từ 2011 đến 2012: Phó giám đốc công ty TNHH kiểm toán AS</w:t>
            </w:r>
          </w:p>
          <w:p w:rsidR="00055E33" w:rsidRPr="0033036C" w:rsidRDefault="00055E33" w:rsidP="00055E33">
            <w:pPr>
              <w:pStyle w:val="ListParagraph"/>
              <w:numPr>
                <w:ilvl w:val="0"/>
                <w:numId w:val="4"/>
              </w:numPr>
              <w:spacing w:before="120" w:after="0" w:line="240" w:lineRule="auto"/>
              <w:ind w:left="331"/>
              <w:rPr>
                <w:rFonts w:ascii="Arial" w:hAnsi="Arial" w:cs="Arial"/>
                <w:sz w:val="20"/>
                <w:szCs w:val="20"/>
                <w:lang w:val="nl-NL"/>
              </w:rPr>
            </w:pPr>
            <w:r w:rsidRPr="0033036C">
              <w:rPr>
                <w:rFonts w:ascii="Arial" w:hAnsi="Arial" w:cs="Arial"/>
                <w:sz w:val="20"/>
                <w:szCs w:val="20"/>
                <w:lang w:val="nl-NL"/>
              </w:rPr>
              <w:t>Từ 2012 đến nay: Phó Tổng giám đốc công ty TNHH kiểm toán Đại Tín</w:t>
            </w:r>
          </w:p>
        </w:tc>
      </w:tr>
      <w:tr w:rsidR="00055E33" w:rsidRPr="0033036C" w:rsidTr="00FF5374">
        <w:tc>
          <w:tcPr>
            <w:tcW w:w="0" w:type="auto"/>
            <w:vMerge/>
            <w:tcBorders>
              <w:top w:val="nil"/>
              <w:left w:val="single" w:sz="8" w:space="0" w:color="auto"/>
              <w:bottom w:val="single" w:sz="8" w:space="0" w:color="auto"/>
              <w:right w:val="single" w:sz="8" w:space="0" w:color="auto"/>
            </w:tcBorders>
            <w:vAlign w:val="center"/>
            <w:hideMark/>
          </w:tcPr>
          <w:p w:rsidR="00055E33" w:rsidRPr="0033036C" w:rsidRDefault="00055E33">
            <w:pPr>
              <w:rPr>
                <w:rFonts w:ascii="Arial" w:eastAsiaTheme="minorHAnsi" w:hAnsi="Arial" w:cs="Arial"/>
                <w:sz w:val="20"/>
                <w:szCs w:val="20"/>
                <w:lang w:val="nl-NL"/>
              </w:rPr>
            </w:pPr>
          </w:p>
        </w:tc>
        <w:tc>
          <w:tcPr>
            <w:tcW w:w="1868" w:type="dxa"/>
            <w:tcBorders>
              <w:top w:val="nil"/>
              <w:left w:val="nil"/>
              <w:bottom w:val="single" w:sz="8" w:space="0" w:color="auto"/>
              <w:right w:val="single" w:sz="8" w:space="0" w:color="auto"/>
            </w:tcBorders>
            <w:tcMar>
              <w:top w:w="0" w:type="dxa"/>
              <w:left w:w="108" w:type="dxa"/>
              <w:bottom w:w="0" w:type="dxa"/>
              <w:right w:w="108" w:type="dxa"/>
            </w:tcMar>
            <w:hideMark/>
          </w:tcPr>
          <w:p w:rsidR="00055E33" w:rsidRPr="0033036C" w:rsidRDefault="00055E33">
            <w:pPr>
              <w:spacing w:before="120"/>
              <w:rPr>
                <w:rFonts w:ascii="Arial" w:hAnsi="Arial" w:cs="Arial"/>
                <w:sz w:val="20"/>
                <w:szCs w:val="20"/>
                <w:lang w:val="nl-NL"/>
              </w:rPr>
            </w:pPr>
            <w:r w:rsidRPr="0033036C">
              <w:rPr>
                <w:rFonts w:ascii="Arial" w:hAnsi="Arial" w:cs="Arial"/>
                <w:sz w:val="20"/>
                <w:szCs w:val="20"/>
                <w:lang w:val="nl-NL"/>
              </w:rPr>
              <w:t>Phạm Thị Thanh Thúy</w:t>
            </w:r>
          </w:p>
        </w:tc>
        <w:tc>
          <w:tcPr>
            <w:tcW w:w="1868" w:type="dxa"/>
            <w:tcBorders>
              <w:top w:val="nil"/>
              <w:left w:val="nil"/>
              <w:bottom w:val="single" w:sz="8" w:space="0" w:color="auto"/>
              <w:right w:val="single" w:sz="8" w:space="0" w:color="auto"/>
            </w:tcBorders>
            <w:tcMar>
              <w:top w:w="0" w:type="dxa"/>
              <w:left w:w="108" w:type="dxa"/>
              <w:bottom w:w="0" w:type="dxa"/>
              <w:right w:w="108" w:type="dxa"/>
            </w:tcMar>
            <w:hideMark/>
          </w:tcPr>
          <w:p w:rsidR="00055E33" w:rsidRPr="0033036C" w:rsidRDefault="00055E33">
            <w:pPr>
              <w:spacing w:before="120"/>
              <w:rPr>
                <w:rFonts w:ascii="Arial" w:hAnsi="Arial" w:cs="Arial"/>
                <w:sz w:val="20"/>
                <w:szCs w:val="20"/>
                <w:lang w:val="nl-NL"/>
              </w:rPr>
            </w:pPr>
            <w:r w:rsidRPr="0033036C">
              <w:rPr>
                <w:rFonts w:ascii="Arial" w:hAnsi="Arial" w:cs="Arial"/>
                <w:sz w:val="20"/>
                <w:szCs w:val="20"/>
                <w:lang w:val="nl-NL"/>
              </w:rPr>
              <w:t>Thành viên</w:t>
            </w:r>
          </w:p>
        </w:tc>
        <w:tc>
          <w:tcPr>
            <w:tcW w:w="1868" w:type="dxa"/>
            <w:tcBorders>
              <w:top w:val="nil"/>
              <w:left w:val="nil"/>
              <w:bottom w:val="single" w:sz="8" w:space="0" w:color="auto"/>
              <w:right w:val="single" w:sz="8" w:space="0" w:color="auto"/>
            </w:tcBorders>
            <w:tcMar>
              <w:top w:w="0" w:type="dxa"/>
              <w:left w:w="108" w:type="dxa"/>
              <w:bottom w:w="0" w:type="dxa"/>
              <w:right w:w="108" w:type="dxa"/>
            </w:tcMar>
            <w:hideMark/>
          </w:tcPr>
          <w:p w:rsidR="00055E33" w:rsidRPr="0033036C" w:rsidRDefault="00055E33">
            <w:pPr>
              <w:spacing w:before="120"/>
              <w:rPr>
                <w:rFonts w:ascii="Arial" w:hAnsi="Arial" w:cs="Arial"/>
                <w:sz w:val="20"/>
                <w:szCs w:val="20"/>
                <w:lang w:val="vi-VN"/>
              </w:rPr>
            </w:pPr>
            <w:r w:rsidRPr="0033036C">
              <w:rPr>
                <w:rFonts w:ascii="Arial" w:hAnsi="Arial" w:cs="Arial"/>
                <w:sz w:val="20"/>
                <w:szCs w:val="20"/>
                <w:lang w:val="vi-VN"/>
              </w:rPr>
              <w:t xml:space="preserve">Luật Sư </w:t>
            </w:r>
          </w:p>
        </w:tc>
        <w:tc>
          <w:tcPr>
            <w:tcW w:w="2689" w:type="dxa"/>
            <w:tcBorders>
              <w:top w:val="nil"/>
              <w:left w:val="nil"/>
              <w:bottom w:val="single" w:sz="8" w:space="0" w:color="auto"/>
              <w:right w:val="single" w:sz="8" w:space="0" w:color="auto"/>
            </w:tcBorders>
            <w:tcMar>
              <w:top w:w="0" w:type="dxa"/>
              <w:left w:w="108" w:type="dxa"/>
              <w:bottom w:w="0" w:type="dxa"/>
              <w:right w:w="108" w:type="dxa"/>
            </w:tcMar>
            <w:hideMark/>
          </w:tcPr>
          <w:p w:rsidR="00055E33" w:rsidRPr="0033036C" w:rsidRDefault="00055E33" w:rsidP="00055E33">
            <w:pPr>
              <w:pStyle w:val="ListParagraph"/>
              <w:numPr>
                <w:ilvl w:val="0"/>
                <w:numId w:val="4"/>
              </w:numPr>
              <w:spacing w:before="120" w:after="0" w:line="240" w:lineRule="auto"/>
              <w:ind w:left="331"/>
              <w:rPr>
                <w:rFonts w:ascii="Arial" w:hAnsi="Arial" w:cs="Arial"/>
                <w:sz w:val="20"/>
                <w:szCs w:val="20"/>
                <w:lang w:val="vi-VN"/>
              </w:rPr>
            </w:pPr>
            <w:r w:rsidRPr="0033036C">
              <w:rPr>
                <w:rFonts w:ascii="Arial" w:hAnsi="Arial" w:cs="Arial"/>
                <w:sz w:val="20"/>
                <w:szCs w:val="20"/>
                <w:lang w:val="vi-VN"/>
              </w:rPr>
              <w:t xml:space="preserve">Từ 2010 đến nay: Trưởng phòng Pháp chế tuân thủ công ty cổ </w:t>
            </w:r>
            <w:r w:rsidRPr="0033036C">
              <w:rPr>
                <w:rFonts w:ascii="Arial" w:hAnsi="Arial" w:cs="Arial"/>
                <w:sz w:val="20"/>
                <w:szCs w:val="20"/>
                <w:lang w:val="vi-VN"/>
              </w:rPr>
              <w:lastRenderedPageBreak/>
              <w:t>phần quản lý quỹ đầu tư Việt Nam</w:t>
            </w:r>
          </w:p>
        </w:tc>
      </w:tr>
      <w:tr w:rsidR="00055E33" w:rsidRPr="0033036C" w:rsidTr="00FF5374">
        <w:tc>
          <w:tcPr>
            <w:tcW w:w="1867"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55E33" w:rsidRPr="0033036C" w:rsidRDefault="00055E33">
            <w:pPr>
              <w:spacing w:before="120"/>
              <w:rPr>
                <w:rFonts w:ascii="Arial" w:hAnsi="Arial" w:cs="Arial"/>
                <w:sz w:val="20"/>
                <w:szCs w:val="20"/>
                <w:lang w:val="nl-NL"/>
              </w:rPr>
            </w:pPr>
            <w:r w:rsidRPr="0033036C">
              <w:rPr>
                <w:rFonts w:ascii="Arial" w:hAnsi="Arial" w:cs="Arial"/>
                <w:sz w:val="20"/>
                <w:szCs w:val="20"/>
                <w:lang w:val="nl-NL"/>
              </w:rPr>
              <w:lastRenderedPageBreak/>
              <w:t>Ban điều hành Công ty Quản lý quỹ</w:t>
            </w:r>
          </w:p>
        </w:tc>
        <w:tc>
          <w:tcPr>
            <w:tcW w:w="1868" w:type="dxa"/>
            <w:tcBorders>
              <w:top w:val="nil"/>
              <w:left w:val="nil"/>
              <w:bottom w:val="single" w:sz="8" w:space="0" w:color="auto"/>
              <w:right w:val="single" w:sz="8" w:space="0" w:color="auto"/>
            </w:tcBorders>
            <w:tcMar>
              <w:top w:w="0" w:type="dxa"/>
              <w:left w:w="108" w:type="dxa"/>
              <w:bottom w:w="0" w:type="dxa"/>
              <w:right w:w="108" w:type="dxa"/>
            </w:tcMar>
            <w:hideMark/>
          </w:tcPr>
          <w:p w:rsidR="00055E33" w:rsidRPr="0033036C" w:rsidRDefault="00055E33">
            <w:pPr>
              <w:spacing w:before="120"/>
              <w:rPr>
                <w:rFonts w:ascii="Arial" w:hAnsi="Arial" w:cs="Arial"/>
                <w:sz w:val="20"/>
                <w:szCs w:val="20"/>
                <w:lang w:val="nl-NL"/>
              </w:rPr>
            </w:pPr>
            <w:r w:rsidRPr="0033036C">
              <w:rPr>
                <w:rFonts w:ascii="Arial" w:hAnsi="Arial" w:cs="Arial"/>
                <w:sz w:val="20"/>
                <w:szCs w:val="20"/>
                <w:lang w:val="nl-NL"/>
              </w:rPr>
              <w:t>Trần Thanh Tân</w:t>
            </w:r>
          </w:p>
        </w:tc>
        <w:tc>
          <w:tcPr>
            <w:tcW w:w="1868" w:type="dxa"/>
            <w:tcBorders>
              <w:top w:val="nil"/>
              <w:left w:val="nil"/>
              <w:bottom w:val="single" w:sz="8" w:space="0" w:color="auto"/>
              <w:right w:val="single" w:sz="8" w:space="0" w:color="auto"/>
            </w:tcBorders>
            <w:tcMar>
              <w:top w:w="0" w:type="dxa"/>
              <w:left w:w="108" w:type="dxa"/>
              <w:bottom w:w="0" w:type="dxa"/>
              <w:right w:w="108" w:type="dxa"/>
            </w:tcMar>
            <w:hideMark/>
          </w:tcPr>
          <w:p w:rsidR="00055E33" w:rsidRPr="0033036C" w:rsidRDefault="00055E33">
            <w:pPr>
              <w:spacing w:before="120"/>
              <w:rPr>
                <w:rFonts w:ascii="Arial" w:hAnsi="Arial" w:cs="Arial"/>
                <w:sz w:val="20"/>
                <w:szCs w:val="20"/>
                <w:lang w:val="nl-NL"/>
              </w:rPr>
            </w:pPr>
            <w:r w:rsidRPr="0033036C">
              <w:rPr>
                <w:rFonts w:ascii="Arial" w:hAnsi="Arial" w:cs="Arial"/>
                <w:sz w:val="20"/>
                <w:szCs w:val="20"/>
                <w:lang w:val="nl-NL"/>
              </w:rPr>
              <w:t>Tổng Giám đốc</w:t>
            </w:r>
          </w:p>
        </w:tc>
        <w:tc>
          <w:tcPr>
            <w:tcW w:w="1868" w:type="dxa"/>
            <w:tcBorders>
              <w:top w:val="nil"/>
              <w:left w:val="nil"/>
              <w:bottom w:val="single" w:sz="8" w:space="0" w:color="auto"/>
              <w:right w:val="single" w:sz="8" w:space="0" w:color="auto"/>
            </w:tcBorders>
            <w:tcMar>
              <w:top w:w="0" w:type="dxa"/>
              <w:left w:w="108" w:type="dxa"/>
              <w:bottom w:w="0" w:type="dxa"/>
              <w:right w:w="108" w:type="dxa"/>
            </w:tcMar>
            <w:hideMark/>
          </w:tcPr>
          <w:p w:rsidR="00055E33" w:rsidRPr="0033036C" w:rsidRDefault="00055E33">
            <w:pPr>
              <w:spacing w:before="120"/>
              <w:rPr>
                <w:rFonts w:ascii="Arial" w:hAnsi="Arial" w:cs="Arial"/>
                <w:sz w:val="20"/>
                <w:szCs w:val="20"/>
                <w:lang w:val="vi-VN"/>
              </w:rPr>
            </w:pPr>
            <w:r w:rsidRPr="0033036C">
              <w:rPr>
                <w:rFonts w:ascii="Arial" w:hAnsi="Arial" w:cs="Arial"/>
                <w:sz w:val="20"/>
                <w:szCs w:val="20"/>
                <w:lang w:val="vi-VN"/>
              </w:rPr>
              <w:t>Thạc sỹ Quản trị kinh doanh</w:t>
            </w:r>
          </w:p>
        </w:tc>
        <w:tc>
          <w:tcPr>
            <w:tcW w:w="2689" w:type="dxa"/>
            <w:tcBorders>
              <w:top w:val="nil"/>
              <w:left w:val="nil"/>
              <w:bottom w:val="single" w:sz="8" w:space="0" w:color="auto"/>
              <w:right w:val="single" w:sz="8" w:space="0" w:color="auto"/>
            </w:tcBorders>
            <w:tcMar>
              <w:top w:w="0" w:type="dxa"/>
              <w:left w:w="108" w:type="dxa"/>
              <w:bottom w:w="0" w:type="dxa"/>
              <w:right w:w="108" w:type="dxa"/>
            </w:tcMar>
            <w:hideMark/>
          </w:tcPr>
          <w:p w:rsidR="00055E33" w:rsidRPr="0033036C" w:rsidRDefault="00055E33" w:rsidP="00055E33">
            <w:pPr>
              <w:pStyle w:val="ListParagraph"/>
              <w:numPr>
                <w:ilvl w:val="0"/>
                <w:numId w:val="4"/>
              </w:numPr>
              <w:spacing w:before="120" w:after="0" w:line="240" w:lineRule="auto"/>
              <w:ind w:left="421"/>
              <w:rPr>
                <w:rFonts w:ascii="Arial" w:hAnsi="Arial" w:cs="Arial"/>
                <w:sz w:val="20"/>
                <w:szCs w:val="20"/>
                <w:lang w:val="vi-VN"/>
              </w:rPr>
            </w:pPr>
            <w:r w:rsidRPr="0033036C">
              <w:rPr>
                <w:rFonts w:ascii="Arial" w:hAnsi="Arial" w:cs="Arial"/>
                <w:sz w:val="20"/>
                <w:szCs w:val="20"/>
                <w:lang w:val="vi-VN"/>
              </w:rPr>
              <w:t>Từ 2003 – nay: Tổng giám đốc Công ty CP quản lý quỹ đầu tư Việt Nam</w:t>
            </w:r>
          </w:p>
        </w:tc>
      </w:tr>
      <w:tr w:rsidR="00055E33" w:rsidRPr="0033036C" w:rsidTr="00FF5374">
        <w:tc>
          <w:tcPr>
            <w:tcW w:w="0" w:type="auto"/>
            <w:vMerge/>
            <w:tcBorders>
              <w:top w:val="nil"/>
              <w:left w:val="single" w:sz="8" w:space="0" w:color="auto"/>
              <w:bottom w:val="single" w:sz="8" w:space="0" w:color="auto"/>
              <w:right w:val="single" w:sz="8" w:space="0" w:color="auto"/>
            </w:tcBorders>
            <w:vAlign w:val="center"/>
            <w:hideMark/>
          </w:tcPr>
          <w:p w:rsidR="00055E33" w:rsidRPr="0033036C" w:rsidRDefault="00055E33">
            <w:pPr>
              <w:rPr>
                <w:rFonts w:ascii="Arial" w:eastAsiaTheme="minorHAnsi" w:hAnsi="Arial" w:cs="Arial"/>
                <w:sz w:val="20"/>
                <w:szCs w:val="20"/>
                <w:lang w:val="nl-NL"/>
              </w:rPr>
            </w:pPr>
          </w:p>
        </w:tc>
        <w:tc>
          <w:tcPr>
            <w:tcW w:w="1868" w:type="dxa"/>
            <w:tcBorders>
              <w:top w:val="nil"/>
              <w:left w:val="nil"/>
              <w:bottom w:val="single" w:sz="8" w:space="0" w:color="auto"/>
              <w:right w:val="single" w:sz="8" w:space="0" w:color="auto"/>
            </w:tcBorders>
            <w:tcMar>
              <w:top w:w="0" w:type="dxa"/>
              <w:left w:w="108" w:type="dxa"/>
              <w:bottom w:w="0" w:type="dxa"/>
              <w:right w:w="108" w:type="dxa"/>
            </w:tcMar>
            <w:hideMark/>
          </w:tcPr>
          <w:p w:rsidR="00055E33" w:rsidRPr="0033036C" w:rsidRDefault="00055E33">
            <w:pPr>
              <w:spacing w:before="120"/>
              <w:rPr>
                <w:rFonts w:ascii="Arial" w:hAnsi="Arial" w:cs="Arial"/>
                <w:sz w:val="20"/>
                <w:szCs w:val="20"/>
                <w:lang w:val="nl-NL"/>
              </w:rPr>
            </w:pPr>
            <w:r w:rsidRPr="0033036C">
              <w:rPr>
                <w:rFonts w:ascii="Arial" w:hAnsi="Arial" w:cs="Arial"/>
                <w:sz w:val="20"/>
                <w:szCs w:val="20"/>
                <w:lang w:val="nl-NL"/>
              </w:rPr>
              <w:t>Lương Thị Mỹ Hạnh</w:t>
            </w:r>
          </w:p>
        </w:tc>
        <w:tc>
          <w:tcPr>
            <w:tcW w:w="1868" w:type="dxa"/>
            <w:tcBorders>
              <w:top w:val="nil"/>
              <w:left w:val="nil"/>
              <w:bottom w:val="single" w:sz="8" w:space="0" w:color="auto"/>
              <w:right w:val="single" w:sz="8" w:space="0" w:color="auto"/>
            </w:tcBorders>
            <w:tcMar>
              <w:top w:w="0" w:type="dxa"/>
              <w:left w:w="108" w:type="dxa"/>
              <w:bottom w:w="0" w:type="dxa"/>
              <w:right w:w="108" w:type="dxa"/>
            </w:tcMar>
            <w:hideMark/>
          </w:tcPr>
          <w:p w:rsidR="00055E33" w:rsidRPr="0033036C" w:rsidRDefault="00055E33">
            <w:pPr>
              <w:spacing w:before="120"/>
              <w:rPr>
                <w:rFonts w:ascii="Arial" w:hAnsi="Arial" w:cs="Arial"/>
                <w:sz w:val="20"/>
                <w:szCs w:val="20"/>
                <w:lang w:val="vi-VN"/>
              </w:rPr>
            </w:pPr>
            <w:r w:rsidRPr="0033036C">
              <w:rPr>
                <w:rFonts w:ascii="Arial" w:hAnsi="Arial" w:cs="Arial"/>
                <w:sz w:val="20"/>
                <w:szCs w:val="20"/>
                <w:lang w:val="nl-NL"/>
              </w:rPr>
              <w:t>Phó tổng giám đốc – Khối đầu tư</w:t>
            </w:r>
            <w:r w:rsidRPr="0033036C">
              <w:rPr>
                <w:rFonts w:ascii="Arial" w:hAnsi="Arial" w:cs="Arial"/>
                <w:sz w:val="20"/>
                <w:szCs w:val="20"/>
                <w:lang w:val="vi-VN"/>
              </w:rPr>
              <w:t xml:space="preserve"> nghiên cứu</w:t>
            </w:r>
          </w:p>
        </w:tc>
        <w:tc>
          <w:tcPr>
            <w:tcW w:w="1868" w:type="dxa"/>
            <w:tcBorders>
              <w:top w:val="nil"/>
              <w:left w:val="nil"/>
              <w:bottom w:val="single" w:sz="8" w:space="0" w:color="auto"/>
              <w:right w:val="single" w:sz="8" w:space="0" w:color="auto"/>
            </w:tcBorders>
            <w:tcMar>
              <w:top w:w="0" w:type="dxa"/>
              <w:left w:w="108" w:type="dxa"/>
              <w:bottom w:w="0" w:type="dxa"/>
              <w:right w:w="108" w:type="dxa"/>
            </w:tcMar>
            <w:hideMark/>
          </w:tcPr>
          <w:p w:rsidR="00055E33" w:rsidRPr="0033036C" w:rsidRDefault="00055E33">
            <w:pPr>
              <w:spacing w:before="120"/>
              <w:rPr>
                <w:rFonts w:ascii="Arial" w:hAnsi="Arial" w:cs="Arial"/>
                <w:sz w:val="20"/>
                <w:szCs w:val="20"/>
                <w:lang w:val="nl-NL"/>
              </w:rPr>
            </w:pPr>
            <w:r w:rsidRPr="0033036C">
              <w:rPr>
                <w:rFonts w:ascii="Arial" w:hAnsi="Arial" w:cs="Arial"/>
                <w:sz w:val="20"/>
                <w:szCs w:val="20"/>
                <w:lang w:val="vi-VN"/>
              </w:rPr>
              <w:t>Thạc sỹ Kinh tế</w:t>
            </w:r>
          </w:p>
        </w:tc>
        <w:tc>
          <w:tcPr>
            <w:tcW w:w="2689" w:type="dxa"/>
            <w:tcBorders>
              <w:top w:val="nil"/>
              <w:left w:val="nil"/>
              <w:bottom w:val="single" w:sz="8" w:space="0" w:color="auto"/>
              <w:right w:val="single" w:sz="8" w:space="0" w:color="auto"/>
            </w:tcBorders>
            <w:tcMar>
              <w:top w:w="0" w:type="dxa"/>
              <w:left w:w="108" w:type="dxa"/>
              <w:bottom w:w="0" w:type="dxa"/>
              <w:right w:w="108" w:type="dxa"/>
            </w:tcMar>
            <w:hideMark/>
          </w:tcPr>
          <w:p w:rsidR="00055E33" w:rsidRPr="0033036C" w:rsidRDefault="00055E33" w:rsidP="00055E33">
            <w:pPr>
              <w:pStyle w:val="ListParagraph"/>
              <w:numPr>
                <w:ilvl w:val="0"/>
                <w:numId w:val="4"/>
              </w:numPr>
              <w:spacing w:before="120" w:after="0" w:line="240" w:lineRule="auto"/>
              <w:ind w:left="421"/>
              <w:rPr>
                <w:rFonts w:ascii="Arial" w:hAnsi="Arial" w:cs="Arial"/>
                <w:sz w:val="20"/>
                <w:szCs w:val="20"/>
                <w:lang w:val="vi-VN"/>
              </w:rPr>
            </w:pPr>
            <w:r w:rsidRPr="0033036C">
              <w:rPr>
                <w:rFonts w:ascii="Arial" w:hAnsi="Arial" w:cs="Arial"/>
                <w:sz w:val="20"/>
                <w:szCs w:val="20"/>
                <w:lang w:val="vi-VN"/>
              </w:rPr>
              <w:t>Từ 2010 đến nay: Phó tổng giám đốc – Khối đầu tư nghiên cứu Công ty CP quản lý quỹ đầu tư Việt Nam</w:t>
            </w:r>
          </w:p>
        </w:tc>
      </w:tr>
      <w:tr w:rsidR="00055E33" w:rsidRPr="0033036C" w:rsidTr="00FF5374">
        <w:tc>
          <w:tcPr>
            <w:tcW w:w="0" w:type="auto"/>
            <w:vMerge/>
            <w:tcBorders>
              <w:top w:val="nil"/>
              <w:left w:val="single" w:sz="8" w:space="0" w:color="auto"/>
              <w:bottom w:val="single" w:sz="8" w:space="0" w:color="auto"/>
              <w:right w:val="single" w:sz="8" w:space="0" w:color="auto"/>
            </w:tcBorders>
            <w:vAlign w:val="center"/>
            <w:hideMark/>
          </w:tcPr>
          <w:p w:rsidR="00055E33" w:rsidRPr="0033036C" w:rsidRDefault="00055E33">
            <w:pPr>
              <w:rPr>
                <w:rFonts w:ascii="Arial" w:eastAsiaTheme="minorHAnsi" w:hAnsi="Arial" w:cs="Arial"/>
                <w:sz w:val="20"/>
                <w:szCs w:val="20"/>
                <w:lang w:val="nl-NL"/>
              </w:rPr>
            </w:pPr>
          </w:p>
        </w:tc>
        <w:tc>
          <w:tcPr>
            <w:tcW w:w="1868" w:type="dxa"/>
            <w:tcBorders>
              <w:top w:val="nil"/>
              <w:left w:val="nil"/>
              <w:bottom w:val="single" w:sz="8" w:space="0" w:color="auto"/>
              <w:right w:val="single" w:sz="8" w:space="0" w:color="auto"/>
            </w:tcBorders>
            <w:tcMar>
              <w:top w:w="0" w:type="dxa"/>
              <w:left w:w="108" w:type="dxa"/>
              <w:bottom w:w="0" w:type="dxa"/>
              <w:right w:w="108" w:type="dxa"/>
            </w:tcMar>
            <w:hideMark/>
          </w:tcPr>
          <w:p w:rsidR="00055E33" w:rsidRPr="0033036C" w:rsidRDefault="00055E33">
            <w:pPr>
              <w:spacing w:before="120"/>
              <w:rPr>
                <w:rFonts w:ascii="Arial" w:hAnsi="Arial" w:cs="Arial"/>
                <w:sz w:val="20"/>
                <w:szCs w:val="20"/>
                <w:lang w:val="nl-NL"/>
              </w:rPr>
            </w:pPr>
            <w:r w:rsidRPr="0033036C">
              <w:rPr>
                <w:rFonts w:ascii="Arial" w:hAnsi="Arial" w:cs="Arial"/>
                <w:sz w:val="20"/>
                <w:szCs w:val="20"/>
                <w:lang w:val="nl-NL"/>
              </w:rPr>
              <w:t>Nguyễn Minh Đăng Khánh</w:t>
            </w:r>
          </w:p>
        </w:tc>
        <w:tc>
          <w:tcPr>
            <w:tcW w:w="1868" w:type="dxa"/>
            <w:tcBorders>
              <w:top w:val="nil"/>
              <w:left w:val="nil"/>
              <w:bottom w:val="single" w:sz="8" w:space="0" w:color="auto"/>
              <w:right w:val="single" w:sz="8" w:space="0" w:color="auto"/>
            </w:tcBorders>
            <w:tcMar>
              <w:top w:w="0" w:type="dxa"/>
              <w:left w:w="108" w:type="dxa"/>
              <w:bottom w:w="0" w:type="dxa"/>
              <w:right w:w="108" w:type="dxa"/>
            </w:tcMar>
            <w:hideMark/>
          </w:tcPr>
          <w:p w:rsidR="00055E33" w:rsidRPr="0033036C" w:rsidRDefault="00055E33">
            <w:pPr>
              <w:spacing w:before="120"/>
              <w:rPr>
                <w:rFonts w:ascii="Arial" w:hAnsi="Arial" w:cs="Arial"/>
                <w:sz w:val="20"/>
                <w:szCs w:val="20"/>
                <w:lang w:val="nl-NL"/>
              </w:rPr>
            </w:pPr>
            <w:r w:rsidRPr="0033036C">
              <w:rPr>
                <w:rFonts w:ascii="Arial" w:hAnsi="Arial" w:cs="Arial"/>
                <w:sz w:val="20"/>
                <w:szCs w:val="20"/>
                <w:lang w:val="nl-NL"/>
              </w:rPr>
              <w:t>Phó tổng giám đốc – Giám đốc tài chính</w:t>
            </w:r>
          </w:p>
        </w:tc>
        <w:tc>
          <w:tcPr>
            <w:tcW w:w="1868" w:type="dxa"/>
            <w:tcBorders>
              <w:top w:val="nil"/>
              <w:left w:val="nil"/>
              <w:bottom w:val="single" w:sz="8" w:space="0" w:color="auto"/>
              <w:right w:val="single" w:sz="8" w:space="0" w:color="auto"/>
            </w:tcBorders>
            <w:tcMar>
              <w:top w:w="0" w:type="dxa"/>
              <w:left w:w="108" w:type="dxa"/>
              <w:bottom w:w="0" w:type="dxa"/>
              <w:right w:w="108" w:type="dxa"/>
            </w:tcMar>
            <w:hideMark/>
          </w:tcPr>
          <w:p w:rsidR="00055E33" w:rsidRPr="0033036C" w:rsidRDefault="00055E33">
            <w:pPr>
              <w:spacing w:before="120"/>
              <w:rPr>
                <w:rFonts w:ascii="Arial" w:hAnsi="Arial" w:cs="Arial"/>
                <w:sz w:val="20"/>
                <w:szCs w:val="20"/>
                <w:lang w:val="nl-NL"/>
              </w:rPr>
            </w:pPr>
            <w:r w:rsidRPr="0033036C">
              <w:rPr>
                <w:rFonts w:ascii="Arial" w:hAnsi="Arial" w:cs="Arial"/>
                <w:sz w:val="20"/>
                <w:szCs w:val="20"/>
                <w:lang w:val="vi-VN"/>
              </w:rPr>
              <w:t>Thạc sỹ Tài chính – kinh tế</w:t>
            </w:r>
          </w:p>
        </w:tc>
        <w:tc>
          <w:tcPr>
            <w:tcW w:w="2689" w:type="dxa"/>
            <w:tcBorders>
              <w:top w:val="nil"/>
              <w:left w:val="nil"/>
              <w:bottom w:val="single" w:sz="8" w:space="0" w:color="auto"/>
              <w:right w:val="single" w:sz="8" w:space="0" w:color="auto"/>
            </w:tcBorders>
            <w:tcMar>
              <w:top w:w="0" w:type="dxa"/>
              <w:left w:w="108" w:type="dxa"/>
              <w:bottom w:w="0" w:type="dxa"/>
              <w:right w:w="108" w:type="dxa"/>
            </w:tcMar>
            <w:hideMark/>
          </w:tcPr>
          <w:p w:rsidR="00055E33" w:rsidRPr="0033036C" w:rsidRDefault="00055E33" w:rsidP="00055E33">
            <w:pPr>
              <w:pStyle w:val="ListParagraph"/>
              <w:numPr>
                <w:ilvl w:val="0"/>
                <w:numId w:val="4"/>
              </w:numPr>
              <w:spacing w:before="120" w:after="0" w:line="240" w:lineRule="auto"/>
              <w:ind w:left="421"/>
              <w:rPr>
                <w:rFonts w:ascii="Arial" w:hAnsi="Arial" w:cs="Arial"/>
                <w:sz w:val="20"/>
                <w:szCs w:val="20"/>
                <w:lang w:val="vi-VN"/>
              </w:rPr>
            </w:pPr>
            <w:r w:rsidRPr="0033036C">
              <w:rPr>
                <w:rFonts w:ascii="Arial" w:hAnsi="Arial" w:cs="Arial"/>
                <w:sz w:val="20"/>
                <w:szCs w:val="20"/>
                <w:lang w:val="vi-VN"/>
              </w:rPr>
              <w:t>Từ 2011 đến nay: Phó tổng giám đốc kiêm Giám đốc tài chính Công ty CP quản lý quỹ đầu tư Việt Nam</w:t>
            </w:r>
          </w:p>
        </w:tc>
      </w:tr>
      <w:tr w:rsidR="00055E33" w:rsidRPr="0033036C" w:rsidTr="00FF5374">
        <w:tc>
          <w:tcPr>
            <w:tcW w:w="0" w:type="auto"/>
            <w:vMerge/>
            <w:tcBorders>
              <w:top w:val="nil"/>
              <w:left w:val="single" w:sz="8" w:space="0" w:color="auto"/>
              <w:bottom w:val="single" w:sz="8" w:space="0" w:color="auto"/>
              <w:right w:val="single" w:sz="8" w:space="0" w:color="auto"/>
            </w:tcBorders>
            <w:vAlign w:val="center"/>
            <w:hideMark/>
          </w:tcPr>
          <w:p w:rsidR="00055E33" w:rsidRPr="0033036C" w:rsidRDefault="00055E33">
            <w:pPr>
              <w:rPr>
                <w:rFonts w:ascii="Arial" w:eastAsiaTheme="minorHAnsi" w:hAnsi="Arial" w:cs="Arial"/>
                <w:sz w:val="20"/>
                <w:szCs w:val="20"/>
                <w:lang w:val="nl-NL"/>
              </w:rPr>
            </w:pPr>
          </w:p>
        </w:tc>
        <w:tc>
          <w:tcPr>
            <w:tcW w:w="1868" w:type="dxa"/>
            <w:tcBorders>
              <w:top w:val="nil"/>
              <w:left w:val="nil"/>
              <w:bottom w:val="single" w:sz="8" w:space="0" w:color="auto"/>
              <w:right w:val="single" w:sz="8" w:space="0" w:color="auto"/>
            </w:tcBorders>
            <w:tcMar>
              <w:top w:w="0" w:type="dxa"/>
              <w:left w:w="108" w:type="dxa"/>
              <w:bottom w:w="0" w:type="dxa"/>
              <w:right w:w="108" w:type="dxa"/>
            </w:tcMar>
            <w:hideMark/>
          </w:tcPr>
          <w:p w:rsidR="00055E33" w:rsidRPr="0033036C" w:rsidRDefault="00055E33">
            <w:pPr>
              <w:spacing w:before="120"/>
              <w:rPr>
                <w:rFonts w:ascii="Arial" w:hAnsi="Arial" w:cs="Arial"/>
                <w:sz w:val="20"/>
                <w:szCs w:val="20"/>
                <w:lang w:val="nl-NL"/>
              </w:rPr>
            </w:pPr>
            <w:r w:rsidRPr="0033036C">
              <w:rPr>
                <w:rFonts w:ascii="Arial" w:hAnsi="Arial" w:cs="Arial"/>
                <w:sz w:val="20"/>
                <w:szCs w:val="20"/>
                <w:lang w:val="nl-NL"/>
              </w:rPr>
              <w:t>Trần Lê Minh</w:t>
            </w:r>
          </w:p>
        </w:tc>
        <w:tc>
          <w:tcPr>
            <w:tcW w:w="1868" w:type="dxa"/>
            <w:tcBorders>
              <w:top w:val="nil"/>
              <w:left w:val="nil"/>
              <w:bottom w:val="single" w:sz="8" w:space="0" w:color="auto"/>
              <w:right w:val="single" w:sz="8" w:space="0" w:color="auto"/>
            </w:tcBorders>
            <w:tcMar>
              <w:top w:w="0" w:type="dxa"/>
              <w:left w:w="108" w:type="dxa"/>
              <w:bottom w:w="0" w:type="dxa"/>
              <w:right w:w="108" w:type="dxa"/>
            </w:tcMar>
            <w:hideMark/>
          </w:tcPr>
          <w:p w:rsidR="00055E33" w:rsidRPr="0033036C" w:rsidRDefault="00055E33">
            <w:pPr>
              <w:spacing w:before="120"/>
              <w:rPr>
                <w:rFonts w:ascii="Arial" w:hAnsi="Arial" w:cs="Arial"/>
                <w:sz w:val="20"/>
                <w:szCs w:val="20"/>
                <w:lang w:val="nl-NL"/>
              </w:rPr>
            </w:pPr>
            <w:r w:rsidRPr="0033036C">
              <w:rPr>
                <w:rFonts w:ascii="Arial" w:hAnsi="Arial" w:cs="Arial"/>
                <w:sz w:val="20"/>
                <w:szCs w:val="20"/>
                <w:lang w:val="nl-NL"/>
              </w:rPr>
              <w:t xml:space="preserve">Phó tổng giám đốc – </w:t>
            </w:r>
            <w:r w:rsidRPr="0033036C">
              <w:rPr>
                <w:rFonts w:ascii="Arial" w:hAnsi="Arial" w:cs="Arial"/>
                <w:sz w:val="20"/>
                <w:szCs w:val="20"/>
                <w:lang w:val="vi-VN"/>
              </w:rPr>
              <w:t xml:space="preserve">Giám đốc </w:t>
            </w:r>
            <w:r w:rsidRPr="0033036C">
              <w:rPr>
                <w:rFonts w:ascii="Arial" w:hAnsi="Arial" w:cs="Arial"/>
                <w:sz w:val="20"/>
                <w:szCs w:val="20"/>
                <w:lang w:val="nl-NL"/>
              </w:rPr>
              <w:t>chi nhánh Hà Nội</w:t>
            </w:r>
          </w:p>
        </w:tc>
        <w:tc>
          <w:tcPr>
            <w:tcW w:w="1868" w:type="dxa"/>
            <w:tcBorders>
              <w:top w:val="nil"/>
              <w:left w:val="nil"/>
              <w:bottom w:val="single" w:sz="8" w:space="0" w:color="auto"/>
              <w:right w:val="single" w:sz="8" w:space="0" w:color="auto"/>
            </w:tcBorders>
            <w:tcMar>
              <w:top w:w="0" w:type="dxa"/>
              <w:left w:w="108" w:type="dxa"/>
              <w:bottom w:w="0" w:type="dxa"/>
              <w:right w:w="108" w:type="dxa"/>
            </w:tcMar>
            <w:hideMark/>
          </w:tcPr>
          <w:p w:rsidR="00055E33" w:rsidRPr="0033036C" w:rsidRDefault="00055E33">
            <w:pPr>
              <w:spacing w:before="120"/>
              <w:rPr>
                <w:rFonts w:ascii="Arial" w:hAnsi="Arial" w:cs="Arial"/>
                <w:sz w:val="20"/>
                <w:szCs w:val="20"/>
                <w:lang w:val="nl-NL"/>
              </w:rPr>
            </w:pPr>
            <w:r w:rsidRPr="0033036C">
              <w:rPr>
                <w:rFonts w:ascii="Arial" w:hAnsi="Arial" w:cs="Arial"/>
                <w:sz w:val="20"/>
                <w:szCs w:val="20"/>
                <w:lang w:val="vi-VN"/>
              </w:rPr>
              <w:t>Thạc sỹ Quản trị Tài chính</w:t>
            </w:r>
          </w:p>
        </w:tc>
        <w:tc>
          <w:tcPr>
            <w:tcW w:w="2689" w:type="dxa"/>
            <w:tcBorders>
              <w:top w:val="nil"/>
              <w:left w:val="nil"/>
              <w:bottom w:val="single" w:sz="8" w:space="0" w:color="auto"/>
              <w:right w:val="single" w:sz="8" w:space="0" w:color="auto"/>
            </w:tcBorders>
            <w:tcMar>
              <w:top w:w="0" w:type="dxa"/>
              <w:left w:w="108" w:type="dxa"/>
              <w:bottom w:w="0" w:type="dxa"/>
              <w:right w:w="108" w:type="dxa"/>
            </w:tcMar>
            <w:hideMark/>
          </w:tcPr>
          <w:p w:rsidR="00055E33" w:rsidRPr="0033036C" w:rsidRDefault="00055E33" w:rsidP="00055E33">
            <w:pPr>
              <w:pStyle w:val="ListParagraph"/>
              <w:numPr>
                <w:ilvl w:val="0"/>
                <w:numId w:val="4"/>
              </w:numPr>
              <w:spacing w:before="120" w:after="0" w:line="240" w:lineRule="auto"/>
              <w:ind w:left="421"/>
              <w:rPr>
                <w:rFonts w:ascii="Arial" w:hAnsi="Arial" w:cs="Arial"/>
                <w:sz w:val="20"/>
                <w:szCs w:val="20"/>
                <w:lang w:val="vi-VN"/>
              </w:rPr>
            </w:pPr>
            <w:r w:rsidRPr="0033036C">
              <w:rPr>
                <w:rFonts w:ascii="Arial" w:hAnsi="Arial" w:cs="Arial"/>
                <w:sz w:val="20"/>
                <w:szCs w:val="20"/>
                <w:lang w:val="vi-VN"/>
              </w:rPr>
              <w:t xml:space="preserve">Từ 2011 đến nay: Phó Tổng giám đốc – Giám đốc chi nhánh Hà Nội – công ty CP quản lý quỹ đầu tư Việt Nam </w:t>
            </w:r>
          </w:p>
        </w:tc>
      </w:tr>
      <w:tr w:rsidR="00055E33" w:rsidRPr="0033036C" w:rsidTr="00FF5374">
        <w:trPr>
          <w:trHeight w:val="4147"/>
        </w:trPr>
        <w:tc>
          <w:tcPr>
            <w:tcW w:w="0" w:type="auto"/>
            <w:vMerge/>
            <w:tcBorders>
              <w:top w:val="nil"/>
              <w:left w:val="single" w:sz="8" w:space="0" w:color="auto"/>
              <w:bottom w:val="single" w:sz="8" w:space="0" w:color="auto"/>
              <w:right w:val="single" w:sz="8" w:space="0" w:color="auto"/>
            </w:tcBorders>
            <w:vAlign w:val="center"/>
            <w:hideMark/>
          </w:tcPr>
          <w:p w:rsidR="00055E33" w:rsidRPr="0033036C" w:rsidRDefault="00055E33">
            <w:pPr>
              <w:rPr>
                <w:rFonts w:ascii="Arial" w:eastAsiaTheme="minorHAnsi" w:hAnsi="Arial" w:cs="Arial"/>
                <w:sz w:val="20"/>
                <w:szCs w:val="20"/>
                <w:lang w:val="nl-NL"/>
              </w:rPr>
            </w:pPr>
          </w:p>
        </w:tc>
        <w:tc>
          <w:tcPr>
            <w:tcW w:w="1868" w:type="dxa"/>
            <w:tcBorders>
              <w:top w:val="nil"/>
              <w:left w:val="nil"/>
              <w:bottom w:val="single" w:sz="8" w:space="0" w:color="auto"/>
              <w:right w:val="single" w:sz="8" w:space="0" w:color="auto"/>
            </w:tcBorders>
            <w:tcMar>
              <w:top w:w="0" w:type="dxa"/>
              <w:left w:w="108" w:type="dxa"/>
              <w:bottom w:w="0" w:type="dxa"/>
              <w:right w:w="108" w:type="dxa"/>
            </w:tcMar>
            <w:hideMark/>
          </w:tcPr>
          <w:p w:rsidR="00055E33" w:rsidRPr="0033036C" w:rsidRDefault="00055E33">
            <w:pPr>
              <w:spacing w:before="120"/>
              <w:rPr>
                <w:rFonts w:ascii="Arial" w:hAnsi="Arial" w:cs="Arial"/>
                <w:sz w:val="20"/>
                <w:szCs w:val="20"/>
                <w:lang w:val="nl-NL"/>
              </w:rPr>
            </w:pPr>
            <w:r w:rsidRPr="0033036C">
              <w:rPr>
                <w:rFonts w:ascii="Arial" w:hAnsi="Arial" w:cs="Arial"/>
                <w:sz w:val="20"/>
                <w:szCs w:val="20"/>
                <w:lang w:val="nl-NL"/>
              </w:rPr>
              <w:t>Trần Văn Hiếu</w:t>
            </w:r>
          </w:p>
        </w:tc>
        <w:tc>
          <w:tcPr>
            <w:tcW w:w="1868" w:type="dxa"/>
            <w:tcBorders>
              <w:top w:val="nil"/>
              <w:left w:val="nil"/>
              <w:bottom w:val="single" w:sz="8" w:space="0" w:color="auto"/>
              <w:right w:val="single" w:sz="8" w:space="0" w:color="auto"/>
            </w:tcBorders>
            <w:tcMar>
              <w:top w:w="0" w:type="dxa"/>
              <w:left w:w="108" w:type="dxa"/>
              <w:bottom w:w="0" w:type="dxa"/>
              <w:right w:w="108" w:type="dxa"/>
            </w:tcMar>
            <w:hideMark/>
          </w:tcPr>
          <w:p w:rsidR="00055E33" w:rsidRPr="0033036C" w:rsidRDefault="00055E33">
            <w:pPr>
              <w:spacing w:before="120"/>
              <w:rPr>
                <w:rFonts w:ascii="Arial" w:hAnsi="Arial" w:cs="Arial"/>
                <w:sz w:val="20"/>
                <w:szCs w:val="20"/>
                <w:lang w:val="nl-NL"/>
              </w:rPr>
            </w:pPr>
            <w:r w:rsidRPr="0033036C">
              <w:rPr>
                <w:rFonts w:ascii="Arial" w:hAnsi="Arial" w:cs="Arial"/>
                <w:sz w:val="20"/>
                <w:szCs w:val="20"/>
                <w:lang w:val="nl-NL"/>
              </w:rPr>
              <w:t>Quyền phó tổng giám đốc – Khối huy động vốn</w:t>
            </w:r>
          </w:p>
        </w:tc>
        <w:tc>
          <w:tcPr>
            <w:tcW w:w="1868" w:type="dxa"/>
            <w:tcBorders>
              <w:top w:val="nil"/>
              <w:left w:val="nil"/>
              <w:bottom w:val="single" w:sz="8" w:space="0" w:color="auto"/>
              <w:right w:val="single" w:sz="8" w:space="0" w:color="auto"/>
            </w:tcBorders>
            <w:tcMar>
              <w:top w:w="0" w:type="dxa"/>
              <w:left w:w="108" w:type="dxa"/>
              <w:bottom w:w="0" w:type="dxa"/>
              <w:right w:w="108" w:type="dxa"/>
            </w:tcMar>
            <w:hideMark/>
          </w:tcPr>
          <w:p w:rsidR="00055E33" w:rsidRPr="0033036C" w:rsidRDefault="00055E33">
            <w:pPr>
              <w:spacing w:before="120"/>
              <w:rPr>
                <w:rFonts w:ascii="Arial" w:hAnsi="Arial" w:cs="Arial"/>
                <w:sz w:val="20"/>
                <w:szCs w:val="20"/>
                <w:lang w:val="nl-NL"/>
              </w:rPr>
            </w:pPr>
            <w:r w:rsidRPr="0033036C">
              <w:rPr>
                <w:rFonts w:ascii="Arial" w:hAnsi="Arial" w:cs="Arial"/>
                <w:sz w:val="20"/>
                <w:szCs w:val="20"/>
                <w:lang w:val="vi-VN"/>
              </w:rPr>
              <w:t>Thạc sỹ Quản trị kinh doanh</w:t>
            </w:r>
          </w:p>
        </w:tc>
        <w:tc>
          <w:tcPr>
            <w:tcW w:w="2689" w:type="dxa"/>
            <w:tcBorders>
              <w:top w:val="nil"/>
              <w:left w:val="nil"/>
              <w:bottom w:val="single" w:sz="8" w:space="0" w:color="auto"/>
              <w:right w:val="single" w:sz="8" w:space="0" w:color="auto"/>
            </w:tcBorders>
            <w:tcMar>
              <w:top w:w="0" w:type="dxa"/>
              <w:left w:w="108" w:type="dxa"/>
              <w:bottom w:w="0" w:type="dxa"/>
              <w:right w:w="108" w:type="dxa"/>
            </w:tcMar>
            <w:hideMark/>
          </w:tcPr>
          <w:p w:rsidR="00055E33" w:rsidRPr="0033036C" w:rsidRDefault="00055E33" w:rsidP="00055E33">
            <w:pPr>
              <w:pStyle w:val="ListParagraph"/>
              <w:numPr>
                <w:ilvl w:val="0"/>
                <w:numId w:val="4"/>
              </w:numPr>
              <w:spacing w:before="120" w:after="0" w:line="240" w:lineRule="auto"/>
              <w:ind w:left="331"/>
              <w:rPr>
                <w:rFonts w:ascii="Arial" w:hAnsi="Arial" w:cs="Arial"/>
                <w:sz w:val="20"/>
                <w:szCs w:val="20"/>
                <w:lang w:val="vi-VN"/>
              </w:rPr>
            </w:pPr>
            <w:r w:rsidRPr="0033036C">
              <w:rPr>
                <w:rFonts w:ascii="Arial" w:hAnsi="Arial" w:cs="Arial"/>
                <w:sz w:val="20"/>
                <w:szCs w:val="20"/>
                <w:lang w:val="vi-VN"/>
              </w:rPr>
              <w:t>Từ 2010 đến 2012: Giám đốc điều hành công ty Pana Harrison Asia Limited insurance broker Việt Nam</w:t>
            </w:r>
          </w:p>
          <w:p w:rsidR="00055E33" w:rsidRPr="0033036C" w:rsidRDefault="00055E33" w:rsidP="00055E33">
            <w:pPr>
              <w:pStyle w:val="ListParagraph"/>
              <w:numPr>
                <w:ilvl w:val="0"/>
                <w:numId w:val="4"/>
              </w:numPr>
              <w:spacing w:before="120" w:after="0" w:line="240" w:lineRule="auto"/>
              <w:ind w:left="331"/>
              <w:rPr>
                <w:rFonts w:ascii="Arial" w:hAnsi="Arial" w:cs="Arial"/>
                <w:sz w:val="20"/>
                <w:szCs w:val="20"/>
                <w:lang w:val="vi-VN"/>
              </w:rPr>
            </w:pPr>
            <w:r w:rsidRPr="0033036C">
              <w:rPr>
                <w:rFonts w:ascii="Arial" w:hAnsi="Arial" w:cs="Arial"/>
                <w:sz w:val="20"/>
                <w:szCs w:val="20"/>
                <w:lang w:val="vi-VN"/>
              </w:rPr>
              <w:t>Từ 2012 đến 2014: Giám đốc Dự án công ty Generali Việt Nam</w:t>
            </w:r>
          </w:p>
          <w:p w:rsidR="00055E33" w:rsidRPr="0033036C" w:rsidRDefault="00055E33" w:rsidP="00055E33">
            <w:pPr>
              <w:pStyle w:val="ListParagraph"/>
              <w:numPr>
                <w:ilvl w:val="0"/>
                <w:numId w:val="4"/>
              </w:numPr>
              <w:spacing w:before="120" w:after="0" w:line="240" w:lineRule="auto"/>
              <w:ind w:left="331"/>
              <w:rPr>
                <w:rFonts w:ascii="Arial" w:hAnsi="Arial" w:cs="Arial"/>
                <w:sz w:val="20"/>
                <w:szCs w:val="20"/>
                <w:lang w:val="vi-VN"/>
              </w:rPr>
            </w:pPr>
            <w:r w:rsidRPr="0033036C">
              <w:rPr>
                <w:rFonts w:ascii="Arial" w:hAnsi="Arial" w:cs="Arial"/>
                <w:sz w:val="20"/>
                <w:szCs w:val="20"/>
                <w:lang w:val="vi-VN"/>
              </w:rPr>
              <w:t>Từ 2014 đến 2015: Giám đốc Huy động vốn cao cấp công ty CP quản lý quỹ đầu tư Việt Nam</w:t>
            </w:r>
          </w:p>
          <w:p w:rsidR="00055E33" w:rsidRPr="0033036C" w:rsidRDefault="00055E33" w:rsidP="00055E33">
            <w:pPr>
              <w:pStyle w:val="ListParagraph"/>
              <w:numPr>
                <w:ilvl w:val="0"/>
                <w:numId w:val="4"/>
              </w:numPr>
              <w:spacing w:before="120" w:after="0" w:line="240" w:lineRule="auto"/>
              <w:ind w:left="331"/>
              <w:rPr>
                <w:rFonts w:ascii="Arial" w:hAnsi="Arial" w:cs="Arial"/>
                <w:sz w:val="20"/>
                <w:szCs w:val="20"/>
                <w:lang w:val="vi-VN"/>
              </w:rPr>
            </w:pPr>
            <w:r w:rsidRPr="0033036C">
              <w:rPr>
                <w:rFonts w:ascii="Arial" w:hAnsi="Arial" w:cs="Arial"/>
                <w:sz w:val="20"/>
                <w:szCs w:val="20"/>
                <w:lang w:val="vi-VN"/>
              </w:rPr>
              <w:t>Từ 2016 đến nay: Quyền Phó tổng giám đốc công ty CP quản lý quỹ đầu tư Việt Nam</w:t>
            </w:r>
          </w:p>
        </w:tc>
      </w:tr>
    </w:tbl>
    <w:p w:rsidR="00055E33" w:rsidRPr="0033036C" w:rsidRDefault="00055E33" w:rsidP="0060532E">
      <w:pPr>
        <w:shd w:val="clear" w:color="auto" w:fill="FFFFFF"/>
        <w:tabs>
          <w:tab w:val="left" w:pos="540"/>
        </w:tabs>
        <w:spacing w:before="120" w:after="0" w:line="240" w:lineRule="auto"/>
        <w:rPr>
          <w:rFonts w:ascii="Arial" w:hAnsi="Arial" w:cs="Arial"/>
          <w:sz w:val="20"/>
          <w:szCs w:val="26"/>
          <w:lang w:val="nl-NL"/>
        </w:rPr>
      </w:pPr>
    </w:p>
    <w:p w:rsidR="0060532E" w:rsidRPr="0033036C" w:rsidRDefault="0060532E" w:rsidP="0060532E">
      <w:pPr>
        <w:shd w:val="clear" w:color="auto" w:fill="FFFFFF"/>
        <w:tabs>
          <w:tab w:val="left" w:pos="540"/>
        </w:tabs>
        <w:spacing w:before="120" w:after="0" w:line="240" w:lineRule="auto"/>
        <w:rPr>
          <w:rFonts w:ascii="Arial" w:hAnsi="Arial" w:cs="Arial"/>
          <w:sz w:val="20"/>
          <w:szCs w:val="26"/>
          <w:lang w:val="nl-NL"/>
        </w:rPr>
      </w:pPr>
    </w:p>
    <w:tbl>
      <w:tblPr>
        <w:tblW w:w="0" w:type="auto"/>
        <w:tblLook w:val="01E0" w:firstRow="1" w:lastRow="1" w:firstColumn="1" w:lastColumn="1" w:noHBand="0" w:noVBand="0"/>
      </w:tblPr>
      <w:tblGrid>
        <w:gridCol w:w="4428"/>
        <w:gridCol w:w="4428"/>
      </w:tblGrid>
      <w:tr w:rsidR="0060532E" w:rsidRPr="0033036C" w:rsidTr="003201B7">
        <w:tc>
          <w:tcPr>
            <w:tcW w:w="4428" w:type="dxa"/>
            <w:shd w:val="clear" w:color="auto" w:fill="auto"/>
          </w:tcPr>
          <w:p w:rsidR="0060532E" w:rsidRPr="0033036C" w:rsidRDefault="00FF5374" w:rsidP="003201B7">
            <w:pPr>
              <w:tabs>
                <w:tab w:val="left" w:pos="540"/>
              </w:tabs>
              <w:spacing w:before="120" w:after="0" w:line="240" w:lineRule="auto"/>
              <w:jc w:val="center"/>
              <w:rPr>
                <w:rFonts w:ascii="Arial" w:hAnsi="Arial" w:cs="Arial"/>
                <w:sz w:val="20"/>
                <w:szCs w:val="26"/>
                <w:lang w:val="nl-NL"/>
              </w:rPr>
            </w:pPr>
            <w:r>
              <w:rPr>
                <w:rFonts w:ascii="Arial" w:eastAsia="Times New Roman" w:hAnsi="Arial" w:cs="Arial"/>
                <w:i/>
                <w:sz w:val="20"/>
                <w:szCs w:val="26"/>
                <w:lang w:val="nl-NL"/>
              </w:rPr>
              <w:t>Tp HCM</w:t>
            </w:r>
            <w:r w:rsidR="0060532E" w:rsidRPr="0033036C">
              <w:rPr>
                <w:rFonts w:ascii="Arial" w:eastAsia="Times New Roman" w:hAnsi="Arial" w:cs="Arial"/>
                <w:i/>
                <w:sz w:val="20"/>
                <w:szCs w:val="26"/>
                <w:lang w:val="nl-NL"/>
              </w:rPr>
              <w:t>, ngày</w:t>
            </w:r>
            <w:r>
              <w:rPr>
                <w:rFonts w:ascii="Arial" w:eastAsia="Times New Roman" w:hAnsi="Arial" w:cs="Arial"/>
                <w:i/>
                <w:sz w:val="20"/>
                <w:szCs w:val="26"/>
                <w:lang w:val="nl-NL"/>
              </w:rPr>
              <w:t xml:space="preserve"> 18</w:t>
            </w:r>
            <w:r w:rsidR="0060532E" w:rsidRPr="0033036C">
              <w:rPr>
                <w:rFonts w:ascii="Arial" w:eastAsia="Times New Roman" w:hAnsi="Arial" w:cs="Arial"/>
                <w:i/>
                <w:sz w:val="20"/>
                <w:szCs w:val="26"/>
                <w:lang w:val="nl-NL"/>
              </w:rPr>
              <w:t xml:space="preserve"> tháng</w:t>
            </w:r>
            <w:r>
              <w:rPr>
                <w:rFonts w:ascii="Arial" w:eastAsia="Times New Roman" w:hAnsi="Arial" w:cs="Arial"/>
                <w:i/>
                <w:sz w:val="20"/>
                <w:szCs w:val="26"/>
                <w:lang w:val="nl-NL"/>
              </w:rPr>
              <w:t xml:space="preserve"> 10 năm 2016</w:t>
            </w:r>
            <w:r w:rsidR="0060532E" w:rsidRPr="0033036C">
              <w:rPr>
                <w:rFonts w:ascii="Arial" w:eastAsia="Times New Roman" w:hAnsi="Arial" w:cs="Arial"/>
                <w:i/>
                <w:sz w:val="20"/>
                <w:szCs w:val="26"/>
                <w:lang w:val="nl-NL"/>
              </w:rPr>
              <w:br/>
            </w:r>
            <w:r w:rsidR="0060532E" w:rsidRPr="0033036C">
              <w:rPr>
                <w:rFonts w:ascii="Arial" w:eastAsia="Times New Roman" w:hAnsi="Arial" w:cs="Arial"/>
                <w:b/>
                <w:sz w:val="20"/>
                <w:szCs w:val="24"/>
                <w:lang w:val="nl-NL"/>
              </w:rPr>
              <w:t>TỔNG (GIÁM) ĐỐC</w:t>
            </w:r>
            <w:r>
              <w:rPr>
                <w:rFonts w:ascii="Arial" w:eastAsia="Times New Roman" w:hAnsi="Arial" w:cs="Arial"/>
                <w:b/>
                <w:sz w:val="20"/>
                <w:szCs w:val="24"/>
                <w:lang w:val="nl-NL"/>
              </w:rPr>
              <w:t xml:space="preserve"> </w:t>
            </w:r>
            <w:r w:rsidR="0060532E" w:rsidRPr="0033036C">
              <w:rPr>
                <w:rFonts w:ascii="Arial" w:eastAsia="Times New Roman" w:hAnsi="Arial" w:cs="Arial"/>
                <w:b/>
                <w:sz w:val="20"/>
                <w:szCs w:val="24"/>
                <w:lang w:val="nl-NL"/>
              </w:rPr>
              <w:br/>
            </w:r>
            <w:r w:rsidR="0060532E" w:rsidRPr="0033036C">
              <w:rPr>
                <w:rFonts w:ascii="Arial" w:eastAsia="Times New Roman" w:hAnsi="Arial" w:cs="Arial"/>
                <w:i/>
                <w:sz w:val="20"/>
                <w:szCs w:val="26"/>
                <w:lang w:val="nl-NL"/>
              </w:rPr>
              <w:t>(Ký, ghi rõ họ tên và đóng dấu)</w:t>
            </w:r>
          </w:p>
        </w:tc>
        <w:tc>
          <w:tcPr>
            <w:tcW w:w="4428" w:type="dxa"/>
            <w:shd w:val="clear" w:color="auto" w:fill="auto"/>
          </w:tcPr>
          <w:p w:rsidR="0060532E" w:rsidRPr="0033036C" w:rsidRDefault="0060532E" w:rsidP="003201B7">
            <w:pPr>
              <w:tabs>
                <w:tab w:val="left" w:pos="540"/>
              </w:tabs>
              <w:spacing w:before="120" w:after="0" w:line="240" w:lineRule="auto"/>
              <w:rPr>
                <w:rFonts w:ascii="Arial" w:hAnsi="Arial" w:cs="Arial"/>
                <w:sz w:val="20"/>
                <w:szCs w:val="26"/>
                <w:lang w:val="nl-NL"/>
              </w:rPr>
            </w:pPr>
          </w:p>
        </w:tc>
      </w:tr>
    </w:tbl>
    <w:p w:rsidR="0060532E" w:rsidRDefault="0060532E" w:rsidP="0060532E">
      <w:pPr>
        <w:shd w:val="clear" w:color="auto" w:fill="FFFFFF"/>
        <w:tabs>
          <w:tab w:val="left" w:pos="540"/>
        </w:tabs>
        <w:spacing w:before="120" w:after="0" w:line="240" w:lineRule="auto"/>
        <w:rPr>
          <w:rFonts w:ascii="Arial" w:hAnsi="Arial" w:cs="Arial"/>
          <w:sz w:val="20"/>
          <w:szCs w:val="26"/>
          <w:lang w:val="nl-NL"/>
        </w:rPr>
      </w:pPr>
    </w:p>
    <w:p w:rsidR="00FF5374" w:rsidRDefault="00FF5374" w:rsidP="0060532E">
      <w:pPr>
        <w:shd w:val="clear" w:color="auto" w:fill="FFFFFF"/>
        <w:tabs>
          <w:tab w:val="left" w:pos="540"/>
        </w:tabs>
        <w:spacing w:before="120" w:after="0" w:line="240" w:lineRule="auto"/>
        <w:rPr>
          <w:rFonts w:ascii="Arial" w:hAnsi="Arial" w:cs="Arial"/>
          <w:sz w:val="20"/>
          <w:szCs w:val="26"/>
          <w:lang w:val="nl-NL"/>
        </w:rPr>
      </w:pPr>
    </w:p>
    <w:p w:rsidR="00FF5374" w:rsidRDefault="00FF5374" w:rsidP="0060532E">
      <w:pPr>
        <w:shd w:val="clear" w:color="auto" w:fill="FFFFFF"/>
        <w:tabs>
          <w:tab w:val="left" w:pos="540"/>
        </w:tabs>
        <w:spacing w:before="120" w:after="0" w:line="240" w:lineRule="auto"/>
        <w:rPr>
          <w:rFonts w:ascii="Arial" w:hAnsi="Arial" w:cs="Arial"/>
          <w:sz w:val="20"/>
          <w:szCs w:val="26"/>
          <w:lang w:val="nl-NL"/>
        </w:rPr>
      </w:pPr>
    </w:p>
    <w:p w:rsidR="00FF5374" w:rsidRDefault="00FF5374" w:rsidP="0060532E">
      <w:pPr>
        <w:shd w:val="clear" w:color="auto" w:fill="FFFFFF"/>
        <w:tabs>
          <w:tab w:val="left" w:pos="540"/>
        </w:tabs>
        <w:spacing w:before="120" w:after="0" w:line="240" w:lineRule="auto"/>
        <w:rPr>
          <w:rFonts w:ascii="Arial" w:hAnsi="Arial" w:cs="Arial"/>
          <w:sz w:val="20"/>
          <w:szCs w:val="26"/>
          <w:lang w:val="nl-NL"/>
        </w:rPr>
      </w:pPr>
    </w:p>
    <w:p w:rsidR="00FF5374" w:rsidRPr="0033036C" w:rsidRDefault="00FF5374" w:rsidP="0060532E">
      <w:pPr>
        <w:shd w:val="clear" w:color="auto" w:fill="FFFFFF"/>
        <w:tabs>
          <w:tab w:val="left" w:pos="540"/>
        </w:tabs>
        <w:spacing w:before="120" w:after="0" w:line="240" w:lineRule="auto"/>
        <w:rPr>
          <w:rFonts w:ascii="Arial" w:hAnsi="Arial" w:cs="Arial"/>
          <w:sz w:val="20"/>
          <w:szCs w:val="26"/>
          <w:lang w:val="nl-NL"/>
        </w:rPr>
      </w:pPr>
    </w:p>
    <w:sectPr w:rsidR="00FF5374" w:rsidRPr="003303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86DC7"/>
    <w:multiLevelType w:val="hybridMultilevel"/>
    <w:tmpl w:val="0966EB14"/>
    <w:lvl w:ilvl="0" w:tplc="AE407AC2">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36883A0F"/>
    <w:multiLevelType w:val="hybridMultilevel"/>
    <w:tmpl w:val="23C6A55E"/>
    <w:lvl w:ilvl="0" w:tplc="81925272">
      <w:start w:val="1"/>
      <w:numFmt w:val="decimal"/>
      <w:lvlText w:val="%1."/>
      <w:lvlJc w:val="left"/>
      <w:pPr>
        <w:ind w:left="720" w:hanging="360"/>
      </w:pPr>
      <w:rPr>
        <w:rFonts w:ascii="Calibri" w:hAnsi="Calibri" w:cs="Times New Roman"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100362C"/>
    <w:multiLevelType w:val="hybridMultilevel"/>
    <w:tmpl w:val="EFD0BF2C"/>
    <w:lvl w:ilvl="0" w:tplc="9648E112">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79B57529"/>
    <w:multiLevelType w:val="hybridMultilevel"/>
    <w:tmpl w:val="DB003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532E"/>
    <w:rsid w:val="00025A7E"/>
    <w:rsid w:val="00055E33"/>
    <w:rsid w:val="00073884"/>
    <w:rsid w:val="000869AB"/>
    <w:rsid w:val="000958DE"/>
    <w:rsid w:val="000A4E97"/>
    <w:rsid w:val="000D09F5"/>
    <w:rsid w:val="000F2734"/>
    <w:rsid w:val="0010079D"/>
    <w:rsid w:val="00151AC2"/>
    <w:rsid w:val="00163F5E"/>
    <w:rsid w:val="00284C07"/>
    <w:rsid w:val="0028542D"/>
    <w:rsid w:val="002D7BA7"/>
    <w:rsid w:val="002E1D12"/>
    <w:rsid w:val="0033036C"/>
    <w:rsid w:val="003C35DB"/>
    <w:rsid w:val="003E1C37"/>
    <w:rsid w:val="00443F6D"/>
    <w:rsid w:val="004479A1"/>
    <w:rsid w:val="004C3F0E"/>
    <w:rsid w:val="005562E9"/>
    <w:rsid w:val="0060532E"/>
    <w:rsid w:val="0070303B"/>
    <w:rsid w:val="007051E6"/>
    <w:rsid w:val="00743354"/>
    <w:rsid w:val="00761A70"/>
    <w:rsid w:val="0078231B"/>
    <w:rsid w:val="007B172B"/>
    <w:rsid w:val="007F74EF"/>
    <w:rsid w:val="00806185"/>
    <w:rsid w:val="00855506"/>
    <w:rsid w:val="008F4884"/>
    <w:rsid w:val="009056AB"/>
    <w:rsid w:val="009779FB"/>
    <w:rsid w:val="009A1165"/>
    <w:rsid w:val="00A447F1"/>
    <w:rsid w:val="00A80087"/>
    <w:rsid w:val="00A94ABB"/>
    <w:rsid w:val="00B12ACF"/>
    <w:rsid w:val="00B2075C"/>
    <w:rsid w:val="00B873E7"/>
    <w:rsid w:val="00BB24AF"/>
    <w:rsid w:val="00C63813"/>
    <w:rsid w:val="00C85FFA"/>
    <w:rsid w:val="00CE1669"/>
    <w:rsid w:val="00D3030D"/>
    <w:rsid w:val="00DC5E11"/>
    <w:rsid w:val="00DD289D"/>
    <w:rsid w:val="00DE53B6"/>
    <w:rsid w:val="00EF4660"/>
    <w:rsid w:val="00EF7A07"/>
    <w:rsid w:val="00F01849"/>
    <w:rsid w:val="00F54B2C"/>
    <w:rsid w:val="00F975DA"/>
    <w:rsid w:val="00FF5374"/>
    <w:rsid w:val="00FF76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E32F0"/>
  <w15:chartTrackingRefBased/>
  <w15:docId w15:val="{CF72DFB6-F13B-4503-B576-8045C8F68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0532E"/>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2734"/>
    <w:pPr>
      <w:ind w:left="720"/>
      <w:contextualSpacing/>
    </w:pPr>
  </w:style>
  <w:style w:type="paragraph" w:styleId="NoSpacing">
    <w:name w:val="No Spacing"/>
    <w:uiPriority w:val="1"/>
    <w:qFormat/>
    <w:rsid w:val="000F2734"/>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DC5E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5E11"/>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56364">
      <w:bodyDiv w:val="1"/>
      <w:marLeft w:val="0"/>
      <w:marRight w:val="0"/>
      <w:marTop w:val="0"/>
      <w:marBottom w:val="0"/>
      <w:divBdr>
        <w:top w:val="none" w:sz="0" w:space="0" w:color="auto"/>
        <w:left w:val="none" w:sz="0" w:space="0" w:color="auto"/>
        <w:bottom w:val="none" w:sz="0" w:space="0" w:color="auto"/>
        <w:right w:val="none" w:sz="0" w:space="0" w:color="auto"/>
      </w:divBdr>
    </w:div>
    <w:div w:id="26759533">
      <w:bodyDiv w:val="1"/>
      <w:marLeft w:val="0"/>
      <w:marRight w:val="0"/>
      <w:marTop w:val="0"/>
      <w:marBottom w:val="0"/>
      <w:divBdr>
        <w:top w:val="none" w:sz="0" w:space="0" w:color="auto"/>
        <w:left w:val="none" w:sz="0" w:space="0" w:color="auto"/>
        <w:bottom w:val="none" w:sz="0" w:space="0" w:color="auto"/>
        <w:right w:val="none" w:sz="0" w:space="0" w:color="auto"/>
      </w:divBdr>
    </w:div>
    <w:div w:id="44567652">
      <w:bodyDiv w:val="1"/>
      <w:marLeft w:val="0"/>
      <w:marRight w:val="0"/>
      <w:marTop w:val="0"/>
      <w:marBottom w:val="0"/>
      <w:divBdr>
        <w:top w:val="none" w:sz="0" w:space="0" w:color="auto"/>
        <w:left w:val="none" w:sz="0" w:space="0" w:color="auto"/>
        <w:bottom w:val="none" w:sz="0" w:space="0" w:color="auto"/>
        <w:right w:val="none" w:sz="0" w:space="0" w:color="auto"/>
      </w:divBdr>
    </w:div>
    <w:div w:id="64105926">
      <w:bodyDiv w:val="1"/>
      <w:marLeft w:val="0"/>
      <w:marRight w:val="0"/>
      <w:marTop w:val="0"/>
      <w:marBottom w:val="0"/>
      <w:divBdr>
        <w:top w:val="none" w:sz="0" w:space="0" w:color="auto"/>
        <w:left w:val="none" w:sz="0" w:space="0" w:color="auto"/>
        <w:bottom w:val="none" w:sz="0" w:space="0" w:color="auto"/>
        <w:right w:val="none" w:sz="0" w:space="0" w:color="auto"/>
      </w:divBdr>
    </w:div>
    <w:div w:id="196822065">
      <w:bodyDiv w:val="1"/>
      <w:marLeft w:val="0"/>
      <w:marRight w:val="0"/>
      <w:marTop w:val="0"/>
      <w:marBottom w:val="0"/>
      <w:divBdr>
        <w:top w:val="none" w:sz="0" w:space="0" w:color="auto"/>
        <w:left w:val="none" w:sz="0" w:space="0" w:color="auto"/>
        <w:bottom w:val="none" w:sz="0" w:space="0" w:color="auto"/>
        <w:right w:val="none" w:sz="0" w:space="0" w:color="auto"/>
      </w:divBdr>
    </w:div>
    <w:div w:id="197864131">
      <w:bodyDiv w:val="1"/>
      <w:marLeft w:val="0"/>
      <w:marRight w:val="0"/>
      <w:marTop w:val="0"/>
      <w:marBottom w:val="0"/>
      <w:divBdr>
        <w:top w:val="none" w:sz="0" w:space="0" w:color="auto"/>
        <w:left w:val="none" w:sz="0" w:space="0" w:color="auto"/>
        <w:bottom w:val="none" w:sz="0" w:space="0" w:color="auto"/>
        <w:right w:val="none" w:sz="0" w:space="0" w:color="auto"/>
      </w:divBdr>
    </w:div>
    <w:div w:id="198586576">
      <w:bodyDiv w:val="1"/>
      <w:marLeft w:val="0"/>
      <w:marRight w:val="0"/>
      <w:marTop w:val="0"/>
      <w:marBottom w:val="0"/>
      <w:divBdr>
        <w:top w:val="none" w:sz="0" w:space="0" w:color="auto"/>
        <w:left w:val="none" w:sz="0" w:space="0" w:color="auto"/>
        <w:bottom w:val="none" w:sz="0" w:space="0" w:color="auto"/>
        <w:right w:val="none" w:sz="0" w:space="0" w:color="auto"/>
      </w:divBdr>
    </w:div>
    <w:div w:id="220019369">
      <w:bodyDiv w:val="1"/>
      <w:marLeft w:val="0"/>
      <w:marRight w:val="0"/>
      <w:marTop w:val="0"/>
      <w:marBottom w:val="0"/>
      <w:divBdr>
        <w:top w:val="none" w:sz="0" w:space="0" w:color="auto"/>
        <w:left w:val="none" w:sz="0" w:space="0" w:color="auto"/>
        <w:bottom w:val="none" w:sz="0" w:space="0" w:color="auto"/>
        <w:right w:val="none" w:sz="0" w:space="0" w:color="auto"/>
      </w:divBdr>
    </w:div>
    <w:div w:id="225458821">
      <w:bodyDiv w:val="1"/>
      <w:marLeft w:val="0"/>
      <w:marRight w:val="0"/>
      <w:marTop w:val="0"/>
      <w:marBottom w:val="0"/>
      <w:divBdr>
        <w:top w:val="none" w:sz="0" w:space="0" w:color="auto"/>
        <w:left w:val="none" w:sz="0" w:space="0" w:color="auto"/>
        <w:bottom w:val="none" w:sz="0" w:space="0" w:color="auto"/>
        <w:right w:val="none" w:sz="0" w:space="0" w:color="auto"/>
      </w:divBdr>
    </w:div>
    <w:div w:id="227962408">
      <w:bodyDiv w:val="1"/>
      <w:marLeft w:val="0"/>
      <w:marRight w:val="0"/>
      <w:marTop w:val="0"/>
      <w:marBottom w:val="0"/>
      <w:divBdr>
        <w:top w:val="none" w:sz="0" w:space="0" w:color="auto"/>
        <w:left w:val="none" w:sz="0" w:space="0" w:color="auto"/>
        <w:bottom w:val="none" w:sz="0" w:space="0" w:color="auto"/>
        <w:right w:val="none" w:sz="0" w:space="0" w:color="auto"/>
      </w:divBdr>
    </w:div>
    <w:div w:id="236016374">
      <w:bodyDiv w:val="1"/>
      <w:marLeft w:val="0"/>
      <w:marRight w:val="0"/>
      <w:marTop w:val="0"/>
      <w:marBottom w:val="0"/>
      <w:divBdr>
        <w:top w:val="none" w:sz="0" w:space="0" w:color="auto"/>
        <w:left w:val="none" w:sz="0" w:space="0" w:color="auto"/>
        <w:bottom w:val="none" w:sz="0" w:space="0" w:color="auto"/>
        <w:right w:val="none" w:sz="0" w:space="0" w:color="auto"/>
      </w:divBdr>
    </w:div>
    <w:div w:id="250358276">
      <w:bodyDiv w:val="1"/>
      <w:marLeft w:val="0"/>
      <w:marRight w:val="0"/>
      <w:marTop w:val="0"/>
      <w:marBottom w:val="0"/>
      <w:divBdr>
        <w:top w:val="none" w:sz="0" w:space="0" w:color="auto"/>
        <w:left w:val="none" w:sz="0" w:space="0" w:color="auto"/>
        <w:bottom w:val="none" w:sz="0" w:space="0" w:color="auto"/>
        <w:right w:val="none" w:sz="0" w:space="0" w:color="auto"/>
      </w:divBdr>
    </w:div>
    <w:div w:id="286661562">
      <w:bodyDiv w:val="1"/>
      <w:marLeft w:val="0"/>
      <w:marRight w:val="0"/>
      <w:marTop w:val="0"/>
      <w:marBottom w:val="0"/>
      <w:divBdr>
        <w:top w:val="none" w:sz="0" w:space="0" w:color="auto"/>
        <w:left w:val="none" w:sz="0" w:space="0" w:color="auto"/>
        <w:bottom w:val="none" w:sz="0" w:space="0" w:color="auto"/>
        <w:right w:val="none" w:sz="0" w:space="0" w:color="auto"/>
      </w:divBdr>
    </w:div>
    <w:div w:id="319307817">
      <w:bodyDiv w:val="1"/>
      <w:marLeft w:val="0"/>
      <w:marRight w:val="0"/>
      <w:marTop w:val="0"/>
      <w:marBottom w:val="0"/>
      <w:divBdr>
        <w:top w:val="none" w:sz="0" w:space="0" w:color="auto"/>
        <w:left w:val="none" w:sz="0" w:space="0" w:color="auto"/>
        <w:bottom w:val="none" w:sz="0" w:space="0" w:color="auto"/>
        <w:right w:val="none" w:sz="0" w:space="0" w:color="auto"/>
      </w:divBdr>
    </w:div>
    <w:div w:id="351998537">
      <w:bodyDiv w:val="1"/>
      <w:marLeft w:val="0"/>
      <w:marRight w:val="0"/>
      <w:marTop w:val="0"/>
      <w:marBottom w:val="0"/>
      <w:divBdr>
        <w:top w:val="none" w:sz="0" w:space="0" w:color="auto"/>
        <w:left w:val="none" w:sz="0" w:space="0" w:color="auto"/>
        <w:bottom w:val="none" w:sz="0" w:space="0" w:color="auto"/>
        <w:right w:val="none" w:sz="0" w:space="0" w:color="auto"/>
      </w:divBdr>
    </w:div>
    <w:div w:id="356010174">
      <w:bodyDiv w:val="1"/>
      <w:marLeft w:val="0"/>
      <w:marRight w:val="0"/>
      <w:marTop w:val="0"/>
      <w:marBottom w:val="0"/>
      <w:divBdr>
        <w:top w:val="none" w:sz="0" w:space="0" w:color="auto"/>
        <w:left w:val="none" w:sz="0" w:space="0" w:color="auto"/>
        <w:bottom w:val="none" w:sz="0" w:space="0" w:color="auto"/>
        <w:right w:val="none" w:sz="0" w:space="0" w:color="auto"/>
      </w:divBdr>
    </w:div>
    <w:div w:id="368841894">
      <w:bodyDiv w:val="1"/>
      <w:marLeft w:val="0"/>
      <w:marRight w:val="0"/>
      <w:marTop w:val="0"/>
      <w:marBottom w:val="0"/>
      <w:divBdr>
        <w:top w:val="none" w:sz="0" w:space="0" w:color="auto"/>
        <w:left w:val="none" w:sz="0" w:space="0" w:color="auto"/>
        <w:bottom w:val="none" w:sz="0" w:space="0" w:color="auto"/>
        <w:right w:val="none" w:sz="0" w:space="0" w:color="auto"/>
      </w:divBdr>
    </w:div>
    <w:div w:id="381713082">
      <w:bodyDiv w:val="1"/>
      <w:marLeft w:val="0"/>
      <w:marRight w:val="0"/>
      <w:marTop w:val="0"/>
      <w:marBottom w:val="0"/>
      <w:divBdr>
        <w:top w:val="none" w:sz="0" w:space="0" w:color="auto"/>
        <w:left w:val="none" w:sz="0" w:space="0" w:color="auto"/>
        <w:bottom w:val="none" w:sz="0" w:space="0" w:color="auto"/>
        <w:right w:val="none" w:sz="0" w:space="0" w:color="auto"/>
      </w:divBdr>
    </w:div>
    <w:div w:id="390344519">
      <w:bodyDiv w:val="1"/>
      <w:marLeft w:val="0"/>
      <w:marRight w:val="0"/>
      <w:marTop w:val="0"/>
      <w:marBottom w:val="0"/>
      <w:divBdr>
        <w:top w:val="none" w:sz="0" w:space="0" w:color="auto"/>
        <w:left w:val="none" w:sz="0" w:space="0" w:color="auto"/>
        <w:bottom w:val="none" w:sz="0" w:space="0" w:color="auto"/>
        <w:right w:val="none" w:sz="0" w:space="0" w:color="auto"/>
      </w:divBdr>
    </w:div>
    <w:div w:id="392461341">
      <w:bodyDiv w:val="1"/>
      <w:marLeft w:val="0"/>
      <w:marRight w:val="0"/>
      <w:marTop w:val="0"/>
      <w:marBottom w:val="0"/>
      <w:divBdr>
        <w:top w:val="none" w:sz="0" w:space="0" w:color="auto"/>
        <w:left w:val="none" w:sz="0" w:space="0" w:color="auto"/>
        <w:bottom w:val="none" w:sz="0" w:space="0" w:color="auto"/>
        <w:right w:val="none" w:sz="0" w:space="0" w:color="auto"/>
      </w:divBdr>
    </w:div>
    <w:div w:id="405760672">
      <w:bodyDiv w:val="1"/>
      <w:marLeft w:val="0"/>
      <w:marRight w:val="0"/>
      <w:marTop w:val="0"/>
      <w:marBottom w:val="0"/>
      <w:divBdr>
        <w:top w:val="none" w:sz="0" w:space="0" w:color="auto"/>
        <w:left w:val="none" w:sz="0" w:space="0" w:color="auto"/>
        <w:bottom w:val="none" w:sz="0" w:space="0" w:color="auto"/>
        <w:right w:val="none" w:sz="0" w:space="0" w:color="auto"/>
      </w:divBdr>
    </w:div>
    <w:div w:id="407000869">
      <w:bodyDiv w:val="1"/>
      <w:marLeft w:val="0"/>
      <w:marRight w:val="0"/>
      <w:marTop w:val="0"/>
      <w:marBottom w:val="0"/>
      <w:divBdr>
        <w:top w:val="none" w:sz="0" w:space="0" w:color="auto"/>
        <w:left w:val="none" w:sz="0" w:space="0" w:color="auto"/>
        <w:bottom w:val="none" w:sz="0" w:space="0" w:color="auto"/>
        <w:right w:val="none" w:sz="0" w:space="0" w:color="auto"/>
      </w:divBdr>
    </w:div>
    <w:div w:id="418671429">
      <w:bodyDiv w:val="1"/>
      <w:marLeft w:val="0"/>
      <w:marRight w:val="0"/>
      <w:marTop w:val="0"/>
      <w:marBottom w:val="0"/>
      <w:divBdr>
        <w:top w:val="none" w:sz="0" w:space="0" w:color="auto"/>
        <w:left w:val="none" w:sz="0" w:space="0" w:color="auto"/>
        <w:bottom w:val="none" w:sz="0" w:space="0" w:color="auto"/>
        <w:right w:val="none" w:sz="0" w:space="0" w:color="auto"/>
      </w:divBdr>
    </w:div>
    <w:div w:id="442308766">
      <w:bodyDiv w:val="1"/>
      <w:marLeft w:val="0"/>
      <w:marRight w:val="0"/>
      <w:marTop w:val="0"/>
      <w:marBottom w:val="0"/>
      <w:divBdr>
        <w:top w:val="none" w:sz="0" w:space="0" w:color="auto"/>
        <w:left w:val="none" w:sz="0" w:space="0" w:color="auto"/>
        <w:bottom w:val="none" w:sz="0" w:space="0" w:color="auto"/>
        <w:right w:val="none" w:sz="0" w:space="0" w:color="auto"/>
      </w:divBdr>
    </w:div>
    <w:div w:id="503253144">
      <w:bodyDiv w:val="1"/>
      <w:marLeft w:val="0"/>
      <w:marRight w:val="0"/>
      <w:marTop w:val="0"/>
      <w:marBottom w:val="0"/>
      <w:divBdr>
        <w:top w:val="none" w:sz="0" w:space="0" w:color="auto"/>
        <w:left w:val="none" w:sz="0" w:space="0" w:color="auto"/>
        <w:bottom w:val="none" w:sz="0" w:space="0" w:color="auto"/>
        <w:right w:val="none" w:sz="0" w:space="0" w:color="auto"/>
      </w:divBdr>
    </w:div>
    <w:div w:id="521742518">
      <w:bodyDiv w:val="1"/>
      <w:marLeft w:val="0"/>
      <w:marRight w:val="0"/>
      <w:marTop w:val="0"/>
      <w:marBottom w:val="0"/>
      <w:divBdr>
        <w:top w:val="none" w:sz="0" w:space="0" w:color="auto"/>
        <w:left w:val="none" w:sz="0" w:space="0" w:color="auto"/>
        <w:bottom w:val="none" w:sz="0" w:space="0" w:color="auto"/>
        <w:right w:val="none" w:sz="0" w:space="0" w:color="auto"/>
      </w:divBdr>
    </w:div>
    <w:div w:id="536234778">
      <w:bodyDiv w:val="1"/>
      <w:marLeft w:val="0"/>
      <w:marRight w:val="0"/>
      <w:marTop w:val="0"/>
      <w:marBottom w:val="0"/>
      <w:divBdr>
        <w:top w:val="none" w:sz="0" w:space="0" w:color="auto"/>
        <w:left w:val="none" w:sz="0" w:space="0" w:color="auto"/>
        <w:bottom w:val="none" w:sz="0" w:space="0" w:color="auto"/>
        <w:right w:val="none" w:sz="0" w:space="0" w:color="auto"/>
      </w:divBdr>
    </w:div>
    <w:div w:id="622686982">
      <w:bodyDiv w:val="1"/>
      <w:marLeft w:val="0"/>
      <w:marRight w:val="0"/>
      <w:marTop w:val="0"/>
      <w:marBottom w:val="0"/>
      <w:divBdr>
        <w:top w:val="none" w:sz="0" w:space="0" w:color="auto"/>
        <w:left w:val="none" w:sz="0" w:space="0" w:color="auto"/>
        <w:bottom w:val="none" w:sz="0" w:space="0" w:color="auto"/>
        <w:right w:val="none" w:sz="0" w:space="0" w:color="auto"/>
      </w:divBdr>
    </w:div>
    <w:div w:id="623730278">
      <w:bodyDiv w:val="1"/>
      <w:marLeft w:val="0"/>
      <w:marRight w:val="0"/>
      <w:marTop w:val="0"/>
      <w:marBottom w:val="0"/>
      <w:divBdr>
        <w:top w:val="none" w:sz="0" w:space="0" w:color="auto"/>
        <w:left w:val="none" w:sz="0" w:space="0" w:color="auto"/>
        <w:bottom w:val="none" w:sz="0" w:space="0" w:color="auto"/>
        <w:right w:val="none" w:sz="0" w:space="0" w:color="auto"/>
      </w:divBdr>
    </w:div>
    <w:div w:id="662928195">
      <w:bodyDiv w:val="1"/>
      <w:marLeft w:val="0"/>
      <w:marRight w:val="0"/>
      <w:marTop w:val="0"/>
      <w:marBottom w:val="0"/>
      <w:divBdr>
        <w:top w:val="none" w:sz="0" w:space="0" w:color="auto"/>
        <w:left w:val="none" w:sz="0" w:space="0" w:color="auto"/>
        <w:bottom w:val="none" w:sz="0" w:space="0" w:color="auto"/>
        <w:right w:val="none" w:sz="0" w:space="0" w:color="auto"/>
      </w:divBdr>
    </w:div>
    <w:div w:id="664165990">
      <w:bodyDiv w:val="1"/>
      <w:marLeft w:val="0"/>
      <w:marRight w:val="0"/>
      <w:marTop w:val="0"/>
      <w:marBottom w:val="0"/>
      <w:divBdr>
        <w:top w:val="none" w:sz="0" w:space="0" w:color="auto"/>
        <w:left w:val="none" w:sz="0" w:space="0" w:color="auto"/>
        <w:bottom w:val="none" w:sz="0" w:space="0" w:color="auto"/>
        <w:right w:val="none" w:sz="0" w:space="0" w:color="auto"/>
      </w:divBdr>
    </w:div>
    <w:div w:id="669259533">
      <w:bodyDiv w:val="1"/>
      <w:marLeft w:val="0"/>
      <w:marRight w:val="0"/>
      <w:marTop w:val="0"/>
      <w:marBottom w:val="0"/>
      <w:divBdr>
        <w:top w:val="none" w:sz="0" w:space="0" w:color="auto"/>
        <w:left w:val="none" w:sz="0" w:space="0" w:color="auto"/>
        <w:bottom w:val="none" w:sz="0" w:space="0" w:color="auto"/>
        <w:right w:val="none" w:sz="0" w:space="0" w:color="auto"/>
      </w:divBdr>
    </w:div>
    <w:div w:id="747918287">
      <w:bodyDiv w:val="1"/>
      <w:marLeft w:val="0"/>
      <w:marRight w:val="0"/>
      <w:marTop w:val="0"/>
      <w:marBottom w:val="0"/>
      <w:divBdr>
        <w:top w:val="none" w:sz="0" w:space="0" w:color="auto"/>
        <w:left w:val="none" w:sz="0" w:space="0" w:color="auto"/>
        <w:bottom w:val="none" w:sz="0" w:space="0" w:color="auto"/>
        <w:right w:val="none" w:sz="0" w:space="0" w:color="auto"/>
      </w:divBdr>
    </w:div>
    <w:div w:id="763695877">
      <w:bodyDiv w:val="1"/>
      <w:marLeft w:val="0"/>
      <w:marRight w:val="0"/>
      <w:marTop w:val="0"/>
      <w:marBottom w:val="0"/>
      <w:divBdr>
        <w:top w:val="none" w:sz="0" w:space="0" w:color="auto"/>
        <w:left w:val="none" w:sz="0" w:space="0" w:color="auto"/>
        <w:bottom w:val="none" w:sz="0" w:space="0" w:color="auto"/>
        <w:right w:val="none" w:sz="0" w:space="0" w:color="auto"/>
      </w:divBdr>
    </w:div>
    <w:div w:id="770978139">
      <w:bodyDiv w:val="1"/>
      <w:marLeft w:val="0"/>
      <w:marRight w:val="0"/>
      <w:marTop w:val="0"/>
      <w:marBottom w:val="0"/>
      <w:divBdr>
        <w:top w:val="none" w:sz="0" w:space="0" w:color="auto"/>
        <w:left w:val="none" w:sz="0" w:space="0" w:color="auto"/>
        <w:bottom w:val="none" w:sz="0" w:space="0" w:color="auto"/>
        <w:right w:val="none" w:sz="0" w:space="0" w:color="auto"/>
      </w:divBdr>
    </w:div>
    <w:div w:id="780343586">
      <w:bodyDiv w:val="1"/>
      <w:marLeft w:val="0"/>
      <w:marRight w:val="0"/>
      <w:marTop w:val="0"/>
      <w:marBottom w:val="0"/>
      <w:divBdr>
        <w:top w:val="none" w:sz="0" w:space="0" w:color="auto"/>
        <w:left w:val="none" w:sz="0" w:space="0" w:color="auto"/>
        <w:bottom w:val="none" w:sz="0" w:space="0" w:color="auto"/>
        <w:right w:val="none" w:sz="0" w:space="0" w:color="auto"/>
      </w:divBdr>
    </w:div>
    <w:div w:id="801384563">
      <w:bodyDiv w:val="1"/>
      <w:marLeft w:val="0"/>
      <w:marRight w:val="0"/>
      <w:marTop w:val="0"/>
      <w:marBottom w:val="0"/>
      <w:divBdr>
        <w:top w:val="none" w:sz="0" w:space="0" w:color="auto"/>
        <w:left w:val="none" w:sz="0" w:space="0" w:color="auto"/>
        <w:bottom w:val="none" w:sz="0" w:space="0" w:color="auto"/>
        <w:right w:val="none" w:sz="0" w:space="0" w:color="auto"/>
      </w:divBdr>
    </w:div>
    <w:div w:id="810025029">
      <w:bodyDiv w:val="1"/>
      <w:marLeft w:val="0"/>
      <w:marRight w:val="0"/>
      <w:marTop w:val="0"/>
      <w:marBottom w:val="0"/>
      <w:divBdr>
        <w:top w:val="none" w:sz="0" w:space="0" w:color="auto"/>
        <w:left w:val="none" w:sz="0" w:space="0" w:color="auto"/>
        <w:bottom w:val="none" w:sz="0" w:space="0" w:color="auto"/>
        <w:right w:val="none" w:sz="0" w:space="0" w:color="auto"/>
      </w:divBdr>
    </w:div>
    <w:div w:id="825979135">
      <w:bodyDiv w:val="1"/>
      <w:marLeft w:val="0"/>
      <w:marRight w:val="0"/>
      <w:marTop w:val="0"/>
      <w:marBottom w:val="0"/>
      <w:divBdr>
        <w:top w:val="none" w:sz="0" w:space="0" w:color="auto"/>
        <w:left w:val="none" w:sz="0" w:space="0" w:color="auto"/>
        <w:bottom w:val="none" w:sz="0" w:space="0" w:color="auto"/>
        <w:right w:val="none" w:sz="0" w:space="0" w:color="auto"/>
      </w:divBdr>
    </w:div>
    <w:div w:id="857888372">
      <w:bodyDiv w:val="1"/>
      <w:marLeft w:val="0"/>
      <w:marRight w:val="0"/>
      <w:marTop w:val="0"/>
      <w:marBottom w:val="0"/>
      <w:divBdr>
        <w:top w:val="none" w:sz="0" w:space="0" w:color="auto"/>
        <w:left w:val="none" w:sz="0" w:space="0" w:color="auto"/>
        <w:bottom w:val="none" w:sz="0" w:space="0" w:color="auto"/>
        <w:right w:val="none" w:sz="0" w:space="0" w:color="auto"/>
      </w:divBdr>
    </w:div>
    <w:div w:id="860708745">
      <w:bodyDiv w:val="1"/>
      <w:marLeft w:val="0"/>
      <w:marRight w:val="0"/>
      <w:marTop w:val="0"/>
      <w:marBottom w:val="0"/>
      <w:divBdr>
        <w:top w:val="none" w:sz="0" w:space="0" w:color="auto"/>
        <w:left w:val="none" w:sz="0" w:space="0" w:color="auto"/>
        <w:bottom w:val="none" w:sz="0" w:space="0" w:color="auto"/>
        <w:right w:val="none" w:sz="0" w:space="0" w:color="auto"/>
      </w:divBdr>
    </w:div>
    <w:div w:id="870916357">
      <w:bodyDiv w:val="1"/>
      <w:marLeft w:val="0"/>
      <w:marRight w:val="0"/>
      <w:marTop w:val="0"/>
      <w:marBottom w:val="0"/>
      <w:divBdr>
        <w:top w:val="none" w:sz="0" w:space="0" w:color="auto"/>
        <w:left w:val="none" w:sz="0" w:space="0" w:color="auto"/>
        <w:bottom w:val="none" w:sz="0" w:space="0" w:color="auto"/>
        <w:right w:val="none" w:sz="0" w:space="0" w:color="auto"/>
      </w:divBdr>
    </w:div>
    <w:div w:id="885063695">
      <w:bodyDiv w:val="1"/>
      <w:marLeft w:val="0"/>
      <w:marRight w:val="0"/>
      <w:marTop w:val="0"/>
      <w:marBottom w:val="0"/>
      <w:divBdr>
        <w:top w:val="none" w:sz="0" w:space="0" w:color="auto"/>
        <w:left w:val="none" w:sz="0" w:space="0" w:color="auto"/>
        <w:bottom w:val="none" w:sz="0" w:space="0" w:color="auto"/>
        <w:right w:val="none" w:sz="0" w:space="0" w:color="auto"/>
      </w:divBdr>
    </w:div>
    <w:div w:id="889729458">
      <w:bodyDiv w:val="1"/>
      <w:marLeft w:val="0"/>
      <w:marRight w:val="0"/>
      <w:marTop w:val="0"/>
      <w:marBottom w:val="0"/>
      <w:divBdr>
        <w:top w:val="none" w:sz="0" w:space="0" w:color="auto"/>
        <w:left w:val="none" w:sz="0" w:space="0" w:color="auto"/>
        <w:bottom w:val="none" w:sz="0" w:space="0" w:color="auto"/>
        <w:right w:val="none" w:sz="0" w:space="0" w:color="auto"/>
      </w:divBdr>
    </w:div>
    <w:div w:id="907495607">
      <w:bodyDiv w:val="1"/>
      <w:marLeft w:val="0"/>
      <w:marRight w:val="0"/>
      <w:marTop w:val="0"/>
      <w:marBottom w:val="0"/>
      <w:divBdr>
        <w:top w:val="none" w:sz="0" w:space="0" w:color="auto"/>
        <w:left w:val="none" w:sz="0" w:space="0" w:color="auto"/>
        <w:bottom w:val="none" w:sz="0" w:space="0" w:color="auto"/>
        <w:right w:val="none" w:sz="0" w:space="0" w:color="auto"/>
      </w:divBdr>
    </w:div>
    <w:div w:id="947010407">
      <w:bodyDiv w:val="1"/>
      <w:marLeft w:val="0"/>
      <w:marRight w:val="0"/>
      <w:marTop w:val="0"/>
      <w:marBottom w:val="0"/>
      <w:divBdr>
        <w:top w:val="none" w:sz="0" w:space="0" w:color="auto"/>
        <w:left w:val="none" w:sz="0" w:space="0" w:color="auto"/>
        <w:bottom w:val="none" w:sz="0" w:space="0" w:color="auto"/>
        <w:right w:val="none" w:sz="0" w:space="0" w:color="auto"/>
      </w:divBdr>
    </w:div>
    <w:div w:id="950237813">
      <w:bodyDiv w:val="1"/>
      <w:marLeft w:val="0"/>
      <w:marRight w:val="0"/>
      <w:marTop w:val="0"/>
      <w:marBottom w:val="0"/>
      <w:divBdr>
        <w:top w:val="none" w:sz="0" w:space="0" w:color="auto"/>
        <w:left w:val="none" w:sz="0" w:space="0" w:color="auto"/>
        <w:bottom w:val="none" w:sz="0" w:space="0" w:color="auto"/>
        <w:right w:val="none" w:sz="0" w:space="0" w:color="auto"/>
      </w:divBdr>
    </w:div>
    <w:div w:id="963997413">
      <w:bodyDiv w:val="1"/>
      <w:marLeft w:val="0"/>
      <w:marRight w:val="0"/>
      <w:marTop w:val="0"/>
      <w:marBottom w:val="0"/>
      <w:divBdr>
        <w:top w:val="none" w:sz="0" w:space="0" w:color="auto"/>
        <w:left w:val="none" w:sz="0" w:space="0" w:color="auto"/>
        <w:bottom w:val="none" w:sz="0" w:space="0" w:color="auto"/>
        <w:right w:val="none" w:sz="0" w:space="0" w:color="auto"/>
      </w:divBdr>
    </w:div>
    <w:div w:id="982268302">
      <w:bodyDiv w:val="1"/>
      <w:marLeft w:val="0"/>
      <w:marRight w:val="0"/>
      <w:marTop w:val="0"/>
      <w:marBottom w:val="0"/>
      <w:divBdr>
        <w:top w:val="none" w:sz="0" w:space="0" w:color="auto"/>
        <w:left w:val="none" w:sz="0" w:space="0" w:color="auto"/>
        <w:bottom w:val="none" w:sz="0" w:space="0" w:color="auto"/>
        <w:right w:val="none" w:sz="0" w:space="0" w:color="auto"/>
      </w:divBdr>
    </w:div>
    <w:div w:id="994378282">
      <w:bodyDiv w:val="1"/>
      <w:marLeft w:val="0"/>
      <w:marRight w:val="0"/>
      <w:marTop w:val="0"/>
      <w:marBottom w:val="0"/>
      <w:divBdr>
        <w:top w:val="none" w:sz="0" w:space="0" w:color="auto"/>
        <w:left w:val="none" w:sz="0" w:space="0" w:color="auto"/>
        <w:bottom w:val="none" w:sz="0" w:space="0" w:color="auto"/>
        <w:right w:val="none" w:sz="0" w:space="0" w:color="auto"/>
      </w:divBdr>
    </w:div>
    <w:div w:id="996302004">
      <w:bodyDiv w:val="1"/>
      <w:marLeft w:val="0"/>
      <w:marRight w:val="0"/>
      <w:marTop w:val="0"/>
      <w:marBottom w:val="0"/>
      <w:divBdr>
        <w:top w:val="none" w:sz="0" w:space="0" w:color="auto"/>
        <w:left w:val="none" w:sz="0" w:space="0" w:color="auto"/>
        <w:bottom w:val="none" w:sz="0" w:space="0" w:color="auto"/>
        <w:right w:val="none" w:sz="0" w:space="0" w:color="auto"/>
      </w:divBdr>
    </w:div>
    <w:div w:id="1008411687">
      <w:bodyDiv w:val="1"/>
      <w:marLeft w:val="0"/>
      <w:marRight w:val="0"/>
      <w:marTop w:val="0"/>
      <w:marBottom w:val="0"/>
      <w:divBdr>
        <w:top w:val="none" w:sz="0" w:space="0" w:color="auto"/>
        <w:left w:val="none" w:sz="0" w:space="0" w:color="auto"/>
        <w:bottom w:val="none" w:sz="0" w:space="0" w:color="auto"/>
        <w:right w:val="none" w:sz="0" w:space="0" w:color="auto"/>
      </w:divBdr>
    </w:div>
    <w:div w:id="1022249416">
      <w:bodyDiv w:val="1"/>
      <w:marLeft w:val="0"/>
      <w:marRight w:val="0"/>
      <w:marTop w:val="0"/>
      <w:marBottom w:val="0"/>
      <w:divBdr>
        <w:top w:val="none" w:sz="0" w:space="0" w:color="auto"/>
        <w:left w:val="none" w:sz="0" w:space="0" w:color="auto"/>
        <w:bottom w:val="none" w:sz="0" w:space="0" w:color="auto"/>
        <w:right w:val="none" w:sz="0" w:space="0" w:color="auto"/>
      </w:divBdr>
    </w:div>
    <w:div w:id="1074737998">
      <w:bodyDiv w:val="1"/>
      <w:marLeft w:val="0"/>
      <w:marRight w:val="0"/>
      <w:marTop w:val="0"/>
      <w:marBottom w:val="0"/>
      <w:divBdr>
        <w:top w:val="none" w:sz="0" w:space="0" w:color="auto"/>
        <w:left w:val="none" w:sz="0" w:space="0" w:color="auto"/>
        <w:bottom w:val="none" w:sz="0" w:space="0" w:color="auto"/>
        <w:right w:val="none" w:sz="0" w:space="0" w:color="auto"/>
      </w:divBdr>
    </w:div>
    <w:div w:id="1074857072">
      <w:bodyDiv w:val="1"/>
      <w:marLeft w:val="0"/>
      <w:marRight w:val="0"/>
      <w:marTop w:val="0"/>
      <w:marBottom w:val="0"/>
      <w:divBdr>
        <w:top w:val="none" w:sz="0" w:space="0" w:color="auto"/>
        <w:left w:val="none" w:sz="0" w:space="0" w:color="auto"/>
        <w:bottom w:val="none" w:sz="0" w:space="0" w:color="auto"/>
        <w:right w:val="none" w:sz="0" w:space="0" w:color="auto"/>
      </w:divBdr>
    </w:div>
    <w:div w:id="1102916895">
      <w:bodyDiv w:val="1"/>
      <w:marLeft w:val="0"/>
      <w:marRight w:val="0"/>
      <w:marTop w:val="0"/>
      <w:marBottom w:val="0"/>
      <w:divBdr>
        <w:top w:val="none" w:sz="0" w:space="0" w:color="auto"/>
        <w:left w:val="none" w:sz="0" w:space="0" w:color="auto"/>
        <w:bottom w:val="none" w:sz="0" w:space="0" w:color="auto"/>
        <w:right w:val="none" w:sz="0" w:space="0" w:color="auto"/>
      </w:divBdr>
    </w:div>
    <w:div w:id="1131284340">
      <w:bodyDiv w:val="1"/>
      <w:marLeft w:val="0"/>
      <w:marRight w:val="0"/>
      <w:marTop w:val="0"/>
      <w:marBottom w:val="0"/>
      <w:divBdr>
        <w:top w:val="none" w:sz="0" w:space="0" w:color="auto"/>
        <w:left w:val="none" w:sz="0" w:space="0" w:color="auto"/>
        <w:bottom w:val="none" w:sz="0" w:space="0" w:color="auto"/>
        <w:right w:val="none" w:sz="0" w:space="0" w:color="auto"/>
      </w:divBdr>
    </w:div>
    <w:div w:id="1137916386">
      <w:bodyDiv w:val="1"/>
      <w:marLeft w:val="0"/>
      <w:marRight w:val="0"/>
      <w:marTop w:val="0"/>
      <w:marBottom w:val="0"/>
      <w:divBdr>
        <w:top w:val="none" w:sz="0" w:space="0" w:color="auto"/>
        <w:left w:val="none" w:sz="0" w:space="0" w:color="auto"/>
        <w:bottom w:val="none" w:sz="0" w:space="0" w:color="auto"/>
        <w:right w:val="none" w:sz="0" w:space="0" w:color="auto"/>
      </w:divBdr>
    </w:div>
    <w:div w:id="1151602068">
      <w:bodyDiv w:val="1"/>
      <w:marLeft w:val="0"/>
      <w:marRight w:val="0"/>
      <w:marTop w:val="0"/>
      <w:marBottom w:val="0"/>
      <w:divBdr>
        <w:top w:val="none" w:sz="0" w:space="0" w:color="auto"/>
        <w:left w:val="none" w:sz="0" w:space="0" w:color="auto"/>
        <w:bottom w:val="none" w:sz="0" w:space="0" w:color="auto"/>
        <w:right w:val="none" w:sz="0" w:space="0" w:color="auto"/>
      </w:divBdr>
    </w:div>
    <w:div w:id="1155758447">
      <w:bodyDiv w:val="1"/>
      <w:marLeft w:val="0"/>
      <w:marRight w:val="0"/>
      <w:marTop w:val="0"/>
      <w:marBottom w:val="0"/>
      <w:divBdr>
        <w:top w:val="none" w:sz="0" w:space="0" w:color="auto"/>
        <w:left w:val="none" w:sz="0" w:space="0" w:color="auto"/>
        <w:bottom w:val="none" w:sz="0" w:space="0" w:color="auto"/>
        <w:right w:val="none" w:sz="0" w:space="0" w:color="auto"/>
      </w:divBdr>
    </w:div>
    <w:div w:id="1243371930">
      <w:bodyDiv w:val="1"/>
      <w:marLeft w:val="0"/>
      <w:marRight w:val="0"/>
      <w:marTop w:val="0"/>
      <w:marBottom w:val="0"/>
      <w:divBdr>
        <w:top w:val="none" w:sz="0" w:space="0" w:color="auto"/>
        <w:left w:val="none" w:sz="0" w:space="0" w:color="auto"/>
        <w:bottom w:val="none" w:sz="0" w:space="0" w:color="auto"/>
        <w:right w:val="none" w:sz="0" w:space="0" w:color="auto"/>
      </w:divBdr>
    </w:div>
    <w:div w:id="1255017744">
      <w:bodyDiv w:val="1"/>
      <w:marLeft w:val="0"/>
      <w:marRight w:val="0"/>
      <w:marTop w:val="0"/>
      <w:marBottom w:val="0"/>
      <w:divBdr>
        <w:top w:val="none" w:sz="0" w:space="0" w:color="auto"/>
        <w:left w:val="none" w:sz="0" w:space="0" w:color="auto"/>
        <w:bottom w:val="none" w:sz="0" w:space="0" w:color="auto"/>
        <w:right w:val="none" w:sz="0" w:space="0" w:color="auto"/>
      </w:divBdr>
    </w:div>
    <w:div w:id="1313296014">
      <w:bodyDiv w:val="1"/>
      <w:marLeft w:val="0"/>
      <w:marRight w:val="0"/>
      <w:marTop w:val="0"/>
      <w:marBottom w:val="0"/>
      <w:divBdr>
        <w:top w:val="none" w:sz="0" w:space="0" w:color="auto"/>
        <w:left w:val="none" w:sz="0" w:space="0" w:color="auto"/>
        <w:bottom w:val="none" w:sz="0" w:space="0" w:color="auto"/>
        <w:right w:val="none" w:sz="0" w:space="0" w:color="auto"/>
      </w:divBdr>
    </w:div>
    <w:div w:id="1366445114">
      <w:bodyDiv w:val="1"/>
      <w:marLeft w:val="0"/>
      <w:marRight w:val="0"/>
      <w:marTop w:val="0"/>
      <w:marBottom w:val="0"/>
      <w:divBdr>
        <w:top w:val="none" w:sz="0" w:space="0" w:color="auto"/>
        <w:left w:val="none" w:sz="0" w:space="0" w:color="auto"/>
        <w:bottom w:val="none" w:sz="0" w:space="0" w:color="auto"/>
        <w:right w:val="none" w:sz="0" w:space="0" w:color="auto"/>
      </w:divBdr>
    </w:div>
    <w:div w:id="1385640453">
      <w:bodyDiv w:val="1"/>
      <w:marLeft w:val="0"/>
      <w:marRight w:val="0"/>
      <w:marTop w:val="0"/>
      <w:marBottom w:val="0"/>
      <w:divBdr>
        <w:top w:val="none" w:sz="0" w:space="0" w:color="auto"/>
        <w:left w:val="none" w:sz="0" w:space="0" w:color="auto"/>
        <w:bottom w:val="none" w:sz="0" w:space="0" w:color="auto"/>
        <w:right w:val="none" w:sz="0" w:space="0" w:color="auto"/>
      </w:divBdr>
    </w:div>
    <w:div w:id="1388068466">
      <w:bodyDiv w:val="1"/>
      <w:marLeft w:val="0"/>
      <w:marRight w:val="0"/>
      <w:marTop w:val="0"/>
      <w:marBottom w:val="0"/>
      <w:divBdr>
        <w:top w:val="none" w:sz="0" w:space="0" w:color="auto"/>
        <w:left w:val="none" w:sz="0" w:space="0" w:color="auto"/>
        <w:bottom w:val="none" w:sz="0" w:space="0" w:color="auto"/>
        <w:right w:val="none" w:sz="0" w:space="0" w:color="auto"/>
      </w:divBdr>
    </w:div>
    <w:div w:id="1415586856">
      <w:bodyDiv w:val="1"/>
      <w:marLeft w:val="0"/>
      <w:marRight w:val="0"/>
      <w:marTop w:val="0"/>
      <w:marBottom w:val="0"/>
      <w:divBdr>
        <w:top w:val="none" w:sz="0" w:space="0" w:color="auto"/>
        <w:left w:val="none" w:sz="0" w:space="0" w:color="auto"/>
        <w:bottom w:val="none" w:sz="0" w:space="0" w:color="auto"/>
        <w:right w:val="none" w:sz="0" w:space="0" w:color="auto"/>
      </w:divBdr>
    </w:div>
    <w:div w:id="1416440371">
      <w:bodyDiv w:val="1"/>
      <w:marLeft w:val="0"/>
      <w:marRight w:val="0"/>
      <w:marTop w:val="0"/>
      <w:marBottom w:val="0"/>
      <w:divBdr>
        <w:top w:val="none" w:sz="0" w:space="0" w:color="auto"/>
        <w:left w:val="none" w:sz="0" w:space="0" w:color="auto"/>
        <w:bottom w:val="none" w:sz="0" w:space="0" w:color="auto"/>
        <w:right w:val="none" w:sz="0" w:space="0" w:color="auto"/>
      </w:divBdr>
    </w:div>
    <w:div w:id="1419013644">
      <w:bodyDiv w:val="1"/>
      <w:marLeft w:val="0"/>
      <w:marRight w:val="0"/>
      <w:marTop w:val="0"/>
      <w:marBottom w:val="0"/>
      <w:divBdr>
        <w:top w:val="none" w:sz="0" w:space="0" w:color="auto"/>
        <w:left w:val="none" w:sz="0" w:space="0" w:color="auto"/>
        <w:bottom w:val="none" w:sz="0" w:space="0" w:color="auto"/>
        <w:right w:val="none" w:sz="0" w:space="0" w:color="auto"/>
      </w:divBdr>
    </w:div>
    <w:div w:id="1443526104">
      <w:bodyDiv w:val="1"/>
      <w:marLeft w:val="0"/>
      <w:marRight w:val="0"/>
      <w:marTop w:val="0"/>
      <w:marBottom w:val="0"/>
      <w:divBdr>
        <w:top w:val="none" w:sz="0" w:space="0" w:color="auto"/>
        <w:left w:val="none" w:sz="0" w:space="0" w:color="auto"/>
        <w:bottom w:val="none" w:sz="0" w:space="0" w:color="auto"/>
        <w:right w:val="none" w:sz="0" w:space="0" w:color="auto"/>
      </w:divBdr>
    </w:div>
    <w:div w:id="1459563262">
      <w:bodyDiv w:val="1"/>
      <w:marLeft w:val="0"/>
      <w:marRight w:val="0"/>
      <w:marTop w:val="0"/>
      <w:marBottom w:val="0"/>
      <w:divBdr>
        <w:top w:val="none" w:sz="0" w:space="0" w:color="auto"/>
        <w:left w:val="none" w:sz="0" w:space="0" w:color="auto"/>
        <w:bottom w:val="none" w:sz="0" w:space="0" w:color="auto"/>
        <w:right w:val="none" w:sz="0" w:space="0" w:color="auto"/>
      </w:divBdr>
    </w:div>
    <w:div w:id="1463889026">
      <w:bodyDiv w:val="1"/>
      <w:marLeft w:val="0"/>
      <w:marRight w:val="0"/>
      <w:marTop w:val="0"/>
      <w:marBottom w:val="0"/>
      <w:divBdr>
        <w:top w:val="none" w:sz="0" w:space="0" w:color="auto"/>
        <w:left w:val="none" w:sz="0" w:space="0" w:color="auto"/>
        <w:bottom w:val="none" w:sz="0" w:space="0" w:color="auto"/>
        <w:right w:val="none" w:sz="0" w:space="0" w:color="auto"/>
      </w:divBdr>
    </w:div>
    <w:div w:id="1474372728">
      <w:bodyDiv w:val="1"/>
      <w:marLeft w:val="0"/>
      <w:marRight w:val="0"/>
      <w:marTop w:val="0"/>
      <w:marBottom w:val="0"/>
      <w:divBdr>
        <w:top w:val="none" w:sz="0" w:space="0" w:color="auto"/>
        <w:left w:val="none" w:sz="0" w:space="0" w:color="auto"/>
        <w:bottom w:val="none" w:sz="0" w:space="0" w:color="auto"/>
        <w:right w:val="none" w:sz="0" w:space="0" w:color="auto"/>
      </w:divBdr>
    </w:div>
    <w:div w:id="1518735006">
      <w:bodyDiv w:val="1"/>
      <w:marLeft w:val="0"/>
      <w:marRight w:val="0"/>
      <w:marTop w:val="0"/>
      <w:marBottom w:val="0"/>
      <w:divBdr>
        <w:top w:val="none" w:sz="0" w:space="0" w:color="auto"/>
        <w:left w:val="none" w:sz="0" w:space="0" w:color="auto"/>
        <w:bottom w:val="none" w:sz="0" w:space="0" w:color="auto"/>
        <w:right w:val="none" w:sz="0" w:space="0" w:color="auto"/>
      </w:divBdr>
    </w:div>
    <w:div w:id="1540509719">
      <w:bodyDiv w:val="1"/>
      <w:marLeft w:val="0"/>
      <w:marRight w:val="0"/>
      <w:marTop w:val="0"/>
      <w:marBottom w:val="0"/>
      <w:divBdr>
        <w:top w:val="none" w:sz="0" w:space="0" w:color="auto"/>
        <w:left w:val="none" w:sz="0" w:space="0" w:color="auto"/>
        <w:bottom w:val="none" w:sz="0" w:space="0" w:color="auto"/>
        <w:right w:val="none" w:sz="0" w:space="0" w:color="auto"/>
      </w:divBdr>
    </w:div>
    <w:div w:id="1544050876">
      <w:bodyDiv w:val="1"/>
      <w:marLeft w:val="0"/>
      <w:marRight w:val="0"/>
      <w:marTop w:val="0"/>
      <w:marBottom w:val="0"/>
      <w:divBdr>
        <w:top w:val="none" w:sz="0" w:space="0" w:color="auto"/>
        <w:left w:val="none" w:sz="0" w:space="0" w:color="auto"/>
        <w:bottom w:val="none" w:sz="0" w:space="0" w:color="auto"/>
        <w:right w:val="none" w:sz="0" w:space="0" w:color="auto"/>
      </w:divBdr>
    </w:div>
    <w:div w:id="1554847158">
      <w:bodyDiv w:val="1"/>
      <w:marLeft w:val="0"/>
      <w:marRight w:val="0"/>
      <w:marTop w:val="0"/>
      <w:marBottom w:val="0"/>
      <w:divBdr>
        <w:top w:val="none" w:sz="0" w:space="0" w:color="auto"/>
        <w:left w:val="none" w:sz="0" w:space="0" w:color="auto"/>
        <w:bottom w:val="none" w:sz="0" w:space="0" w:color="auto"/>
        <w:right w:val="none" w:sz="0" w:space="0" w:color="auto"/>
      </w:divBdr>
    </w:div>
    <w:div w:id="1560432756">
      <w:bodyDiv w:val="1"/>
      <w:marLeft w:val="0"/>
      <w:marRight w:val="0"/>
      <w:marTop w:val="0"/>
      <w:marBottom w:val="0"/>
      <w:divBdr>
        <w:top w:val="none" w:sz="0" w:space="0" w:color="auto"/>
        <w:left w:val="none" w:sz="0" w:space="0" w:color="auto"/>
        <w:bottom w:val="none" w:sz="0" w:space="0" w:color="auto"/>
        <w:right w:val="none" w:sz="0" w:space="0" w:color="auto"/>
      </w:divBdr>
    </w:div>
    <w:div w:id="1597396594">
      <w:bodyDiv w:val="1"/>
      <w:marLeft w:val="0"/>
      <w:marRight w:val="0"/>
      <w:marTop w:val="0"/>
      <w:marBottom w:val="0"/>
      <w:divBdr>
        <w:top w:val="none" w:sz="0" w:space="0" w:color="auto"/>
        <w:left w:val="none" w:sz="0" w:space="0" w:color="auto"/>
        <w:bottom w:val="none" w:sz="0" w:space="0" w:color="auto"/>
        <w:right w:val="none" w:sz="0" w:space="0" w:color="auto"/>
      </w:divBdr>
    </w:div>
    <w:div w:id="1601914655">
      <w:bodyDiv w:val="1"/>
      <w:marLeft w:val="0"/>
      <w:marRight w:val="0"/>
      <w:marTop w:val="0"/>
      <w:marBottom w:val="0"/>
      <w:divBdr>
        <w:top w:val="none" w:sz="0" w:space="0" w:color="auto"/>
        <w:left w:val="none" w:sz="0" w:space="0" w:color="auto"/>
        <w:bottom w:val="none" w:sz="0" w:space="0" w:color="auto"/>
        <w:right w:val="none" w:sz="0" w:space="0" w:color="auto"/>
      </w:divBdr>
    </w:div>
    <w:div w:id="1627080298">
      <w:bodyDiv w:val="1"/>
      <w:marLeft w:val="0"/>
      <w:marRight w:val="0"/>
      <w:marTop w:val="0"/>
      <w:marBottom w:val="0"/>
      <w:divBdr>
        <w:top w:val="none" w:sz="0" w:space="0" w:color="auto"/>
        <w:left w:val="none" w:sz="0" w:space="0" w:color="auto"/>
        <w:bottom w:val="none" w:sz="0" w:space="0" w:color="auto"/>
        <w:right w:val="none" w:sz="0" w:space="0" w:color="auto"/>
      </w:divBdr>
    </w:div>
    <w:div w:id="1634017355">
      <w:bodyDiv w:val="1"/>
      <w:marLeft w:val="0"/>
      <w:marRight w:val="0"/>
      <w:marTop w:val="0"/>
      <w:marBottom w:val="0"/>
      <w:divBdr>
        <w:top w:val="none" w:sz="0" w:space="0" w:color="auto"/>
        <w:left w:val="none" w:sz="0" w:space="0" w:color="auto"/>
        <w:bottom w:val="none" w:sz="0" w:space="0" w:color="auto"/>
        <w:right w:val="none" w:sz="0" w:space="0" w:color="auto"/>
      </w:divBdr>
    </w:div>
    <w:div w:id="1648628472">
      <w:bodyDiv w:val="1"/>
      <w:marLeft w:val="0"/>
      <w:marRight w:val="0"/>
      <w:marTop w:val="0"/>
      <w:marBottom w:val="0"/>
      <w:divBdr>
        <w:top w:val="none" w:sz="0" w:space="0" w:color="auto"/>
        <w:left w:val="none" w:sz="0" w:space="0" w:color="auto"/>
        <w:bottom w:val="none" w:sz="0" w:space="0" w:color="auto"/>
        <w:right w:val="none" w:sz="0" w:space="0" w:color="auto"/>
      </w:divBdr>
    </w:div>
    <w:div w:id="1651405654">
      <w:bodyDiv w:val="1"/>
      <w:marLeft w:val="0"/>
      <w:marRight w:val="0"/>
      <w:marTop w:val="0"/>
      <w:marBottom w:val="0"/>
      <w:divBdr>
        <w:top w:val="none" w:sz="0" w:space="0" w:color="auto"/>
        <w:left w:val="none" w:sz="0" w:space="0" w:color="auto"/>
        <w:bottom w:val="none" w:sz="0" w:space="0" w:color="auto"/>
        <w:right w:val="none" w:sz="0" w:space="0" w:color="auto"/>
      </w:divBdr>
    </w:div>
    <w:div w:id="1664427089">
      <w:bodyDiv w:val="1"/>
      <w:marLeft w:val="0"/>
      <w:marRight w:val="0"/>
      <w:marTop w:val="0"/>
      <w:marBottom w:val="0"/>
      <w:divBdr>
        <w:top w:val="none" w:sz="0" w:space="0" w:color="auto"/>
        <w:left w:val="none" w:sz="0" w:space="0" w:color="auto"/>
        <w:bottom w:val="none" w:sz="0" w:space="0" w:color="auto"/>
        <w:right w:val="none" w:sz="0" w:space="0" w:color="auto"/>
      </w:divBdr>
    </w:div>
    <w:div w:id="1675187263">
      <w:bodyDiv w:val="1"/>
      <w:marLeft w:val="0"/>
      <w:marRight w:val="0"/>
      <w:marTop w:val="0"/>
      <w:marBottom w:val="0"/>
      <w:divBdr>
        <w:top w:val="none" w:sz="0" w:space="0" w:color="auto"/>
        <w:left w:val="none" w:sz="0" w:space="0" w:color="auto"/>
        <w:bottom w:val="none" w:sz="0" w:space="0" w:color="auto"/>
        <w:right w:val="none" w:sz="0" w:space="0" w:color="auto"/>
      </w:divBdr>
    </w:div>
    <w:div w:id="1707172701">
      <w:bodyDiv w:val="1"/>
      <w:marLeft w:val="0"/>
      <w:marRight w:val="0"/>
      <w:marTop w:val="0"/>
      <w:marBottom w:val="0"/>
      <w:divBdr>
        <w:top w:val="none" w:sz="0" w:space="0" w:color="auto"/>
        <w:left w:val="none" w:sz="0" w:space="0" w:color="auto"/>
        <w:bottom w:val="none" w:sz="0" w:space="0" w:color="auto"/>
        <w:right w:val="none" w:sz="0" w:space="0" w:color="auto"/>
      </w:divBdr>
    </w:div>
    <w:div w:id="1725907044">
      <w:bodyDiv w:val="1"/>
      <w:marLeft w:val="0"/>
      <w:marRight w:val="0"/>
      <w:marTop w:val="0"/>
      <w:marBottom w:val="0"/>
      <w:divBdr>
        <w:top w:val="none" w:sz="0" w:space="0" w:color="auto"/>
        <w:left w:val="none" w:sz="0" w:space="0" w:color="auto"/>
        <w:bottom w:val="none" w:sz="0" w:space="0" w:color="auto"/>
        <w:right w:val="none" w:sz="0" w:space="0" w:color="auto"/>
      </w:divBdr>
    </w:div>
    <w:div w:id="1748071326">
      <w:bodyDiv w:val="1"/>
      <w:marLeft w:val="0"/>
      <w:marRight w:val="0"/>
      <w:marTop w:val="0"/>
      <w:marBottom w:val="0"/>
      <w:divBdr>
        <w:top w:val="none" w:sz="0" w:space="0" w:color="auto"/>
        <w:left w:val="none" w:sz="0" w:space="0" w:color="auto"/>
        <w:bottom w:val="none" w:sz="0" w:space="0" w:color="auto"/>
        <w:right w:val="none" w:sz="0" w:space="0" w:color="auto"/>
      </w:divBdr>
    </w:div>
    <w:div w:id="1786845374">
      <w:bodyDiv w:val="1"/>
      <w:marLeft w:val="0"/>
      <w:marRight w:val="0"/>
      <w:marTop w:val="0"/>
      <w:marBottom w:val="0"/>
      <w:divBdr>
        <w:top w:val="none" w:sz="0" w:space="0" w:color="auto"/>
        <w:left w:val="none" w:sz="0" w:space="0" w:color="auto"/>
        <w:bottom w:val="none" w:sz="0" w:space="0" w:color="auto"/>
        <w:right w:val="none" w:sz="0" w:space="0" w:color="auto"/>
      </w:divBdr>
    </w:div>
    <w:div w:id="1788574373">
      <w:bodyDiv w:val="1"/>
      <w:marLeft w:val="0"/>
      <w:marRight w:val="0"/>
      <w:marTop w:val="0"/>
      <w:marBottom w:val="0"/>
      <w:divBdr>
        <w:top w:val="none" w:sz="0" w:space="0" w:color="auto"/>
        <w:left w:val="none" w:sz="0" w:space="0" w:color="auto"/>
        <w:bottom w:val="none" w:sz="0" w:space="0" w:color="auto"/>
        <w:right w:val="none" w:sz="0" w:space="0" w:color="auto"/>
      </w:divBdr>
    </w:div>
    <w:div w:id="1791895799">
      <w:bodyDiv w:val="1"/>
      <w:marLeft w:val="0"/>
      <w:marRight w:val="0"/>
      <w:marTop w:val="0"/>
      <w:marBottom w:val="0"/>
      <w:divBdr>
        <w:top w:val="none" w:sz="0" w:space="0" w:color="auto"/>
        <w:left w:val="none" w:sz="0" w:space="0" w:color="auto"/>
        <w:bottom w:val="none" w:sz="0" w:space="0" w:color="auto"/>
        <w:right w:val="none" w:sz="0" w:space="0" w:color="auto"/>
      </w:divBdr>
    </w:div>
    <w:div w:id="1811093728">
      <w:bodyDiv w:val="1"/>
      <w:marLeft w:val="0"/>
      <w:marRight w:val="0"/>
      <w:marTop w:val="0"/>
      <w:marBottom w:val="0"/>
      <w:divBdr>
        <w:top w:val="none" w:sz="0" w:space="0" w:color="auto"/>
        <w:left w:val="none" w:sz="0" w:space="0" w:color="auto"/>
        <w:bottom w:val="none" w:sz="0" w:space="0" w:color="auto"/>
        <w:right w:val="none" w:sz="0" w:space="0" w:color="auto"/>
      </w:divBdr>
    </w:div>
    <w:div w:id="1848908908">
      <w:bodyDiv w:val="1"/>
      <w:marLeft w:val="0"/>
      <w:marRight w:val="0"/>
      <w:marTop w:val="0"/>
      <w:marBottom w:val="0"/>
      <w:divBdr>
        <w:top w:val="none" w:sz="0" w:space="0" w:color="auto"/>
        <w:left w:val="none" w:sz="0" w:space="0" w:color="auto"/>
        <w:bottom w:val="none" w:sz="0" w:space="0" w:color="auto"/>
        <w:right w:val="none" w:sz="0" w:space="0" w:color="auto"/>
      </w:divBdr>
    </w:div>
    <w:div w:id="1917397461">
      <w:bodyDiv w:val="1"/>
      <w:marLeft w:val="0"/>
      <w:marRight w:val="0"/>
      <w:marTop w:val="0"/>
      <w:marBottom w:val="0"/>
      <w:divBdr>
        <w:top w:val="none" w:sz="0" w:space="0" w:color="auto"/>
        <w:left w:val="none" w:sz="0" w:space="0" w:color="auto"/>
        <w:bottom w:val="none" w:sz="0" w:space="0" w:color="auto"/>
        <w:right w:val="none" w:sz="0" w:space="0" w:color="auto"/>
      </w:divBdr>
    </w:div>
    <w:div w:id="1943800607">
      <w:bodyDiv w:val="1"/>
      <w:marLeft w:val="0"/>
      <w:marRight w:val="0"/>
      <w:marTop w:val="0"/>
      <w:marBottom w:val="0"/>
      <w:divBdr>
        <w:top w:val="none" w:sz="0" w:space="0" w:color="auto"/>
        <w:left w:val="none" w:sz="0" w:space="0" w:color="auto"/>
        <w:bottom w:val="none" w:sz="0" w:space="0" w:color="auto"/>
        <w:right w:val="none" w:sz="0" w:space="0" w:color="auto"/>
      </w:divBdr>
    </w:div>
    <w:div w:id="1956281943">
      <w:bodyDiv w:val="1"/>
      <w:marLeft w:val="0"/>
      <w:marRight w:val="0"/>
      <w:marTop w:val="0"/>
      <w:marBottom w:val="0"/>
      <w:divBdr>
        <w:top w:val="none" w:sz="0" w:space="0" w:color="auto"/>
        <w:left w:val="none" w:sz="0" w:space="0" w:color="auto"/>
        <w:bottom w:val="none" w:sz="0" w:space="0" w:color="auto"/>
        <w:right w:val="none" w:sz="0" w:space="0" w:color="auto"/>
      </w:divBdr>
    </w:div>
    <w:div w:id="1973629161">
      <w:bodyDiv w:val="1"/>
      <w:marLeft w:val="0"/>
      <w:marRight w:val="0"/>
      <w:marTop w:val="0"/>
      <w:marBottom w:val="0"/>
      <w:divBdr>
        <w:top w:val="none" w:sz="0" w:space="0" w:color="auto"/>
        <w:left w:val="none" w:sz="0" w:space="0" w:color="auto"/>
        <w:bottom w:val="none" w:sz="0" w:space="0" w:color="auto"/>
        <w:right w:val="none" w:sz="0" w:space="0" w:color="auto"/>
      </w:divBdr>
    </w:div>
    <w:div w:id="2020157274">
      <w:bodyDiv w:val="1"/>
      <w:marLeft w:val="0"/>
      <w:marRight w:val="0"/>
      <w:marTop w:val="0"/>
      <w:marBottom w:val="0"/>
      <w:divBdr>
        <w:top w:val="none" w:sz="0" w:space="0" w:color="auto"/>
        <w:left w:val="none" w:sz="0" w:space="0" w:color="auto"/>
        <w:bottom w:val="none" w:sz="0" w:space="0" w:color="auto"/>
        <w:right w:val="none" w:sz="0" w:space="0" w:color="auto"/>
      </w:divBdr>
    </w:div>
    <w:div w:id="2026977426">
      <w:bodyDiv w:val="1"/>
      <w:marLeft w:val="0"/>
      <w:marRight w:val="0"/>
      <w:marTop w:val="0"/>
      <w:marBottom w:val="0"/>
      <w:divBdr>
        <w:top w:val="none" w:sz="0" w:space="0" w:color="auto"/>
        <w:left w:val="none" w:sz="0" w:space="0" w:color="auto"/>
        <w:bottom w:val="none" w:sz="0" w:space="0" w:color="auto"/>
        <w:right w:val="none" w:sz="0" w:space="0" w:color="auto"/>
      </w:divBdr>
    </w:div>
    <w:div w:id="2031369506">
      <w:bodyDiv w:val="1"/>
      <w:marLeft w:val="0"/>
      <w:marRight w:val="0"/>
      <w:marTop w:val="0"/>
      <w:marBottom w:val="0"/>
      <w:divBdr>
        <w:top w:val="none" w:sz="0" w:space="0" w:color="auto"/>
        <w:left w:val="none" w:sz="0" w:space="0" w:color="auto"/>
        <w:bottom w:val="none" w:sz="0" w:space="0" w:color="auto"/>
        <w:right w:val="none" w:sz="0" w:space="0" w:color="auto"/>
      </w:divBdr>
    </w:div>
    <w:div w:id="2039814268">
      <w:bodyDiv w:val="1"/>
      <w:marLeft w:val="0"/>
      <w:marRight w:val="0"/>
      <w:marTop w:val="0"/>
      <w:marBottom w:val="0"/>
      <w:divBdr>
        <w:top w:val="none" w:sz="0" w:space="0" w:color="auto"/>
        <w:left w:val="none" w:sz="0" w:space="0" w:color="auto"/>
        <w:bottom w:val="none" w:sz="0" w:space="0" w:color="auto"/>
        <w:right w:val="none" w:sz="0" w:space="0" w:color="auto"/>
      </w:divBdr>
    </w:div>
    <w:div w:id="2059741268">
      <w:bodyDiv w:val="1"/>
      <w:marLeft w:val="0"/>
      <w:marRight w:val="0"/>
      <w:marTop w:val="0"/>
      <w:marBottom w:val="0"/>
      <w:divBdr>
        <w:top w:val="none" w:sz="0" w:space="0" w:color="auto"/>
        <w:left w:val="none" w:sz="0" w:space="0" w:color="auto"/>
        <w:bottom w:val="none" w:sz="0" w:space="0" w:color="auto"/>
        <w:right w:val="none" w:sz="0" w:space="0" w:color="auto"/>
      </w:divBdr>
    </w:div>
    <w:div w:id="2071222115">
      <w:bodyDiv w:val="1"/>
      <w:marLeft w:val="0"/>
      <w:marRight w:val="0"/>
      <w:marTop w:val="0"/>
      <w:marBottom w:val="0"/>
      <w:divBdr>
        <w:top w:val="none" w:sz="0" w:space="0" w:color="auto"/>
        <w:left w:val="none" w:sz="0" w:space="0" w:color="auto"/>
        <w:bottom w:val="none" w:sz="0" w:space="0" w:color="auto"/>
        <w:right w:val="none" w:sz="0" w:space="0" w:color="auto"/>
      </w:divBdr>
    </w:div>
    <w:div w:id="2098162042">
      <w:bodyDiv w:val="1"/>
      <w:marLeft w:val="0"/>
      <w:marRight w:val="0"/>
      <w:marTop w:val="0"/>
      <w:marBottom w:val="0"/>
      <w:divBdr>
        <w:top w:val="none" w:sz="0" w:space="0" w:color="auto"/>
        <w:left w:val="none" w:sz="0" w:space="0" w:color="auto"/>
        <w:bottom w:val="none" w:sz="0" w:space="0" w:color="auto"/>
        <w:right w:val="none" w:sz="0" w:space="0" w:color="auto"/>
      </w:divBdr>
    </w:div>
    <w:div w:id="2121751708">
      <w:bodyDiv w:val="1"/>
      <w:marLeft w:val="0"/>
      <w:marRight w:val="0"/>
      <w:marTop w:val="0"/>
      <w:marBottom w:val="0"/>
      <w:divBdr>
        <w:top w:val="none" w:sz="0" w:space="0" w:color="auto"/>
        <w:left w:val="none" w:sz="0" w:space="0" w:color="auto"/>
        <w:bottom w:val="none" w:sz="0" w:space="0" w:color="auto"/>
        <w:right w:val="none" w:sz="0" w:space="0" w:color="auto"/>
      </w:divBdr>
    </w:div>
    <w:div w:id="2122606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3" Type="http://schemas.openxmlformats.org/officeDocument/2006/relationships/oleObject" Target="file:///F:\KhoiVu\Data\pmdb_working.xlsm"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vi-VN" sz="1600" b="0" i="0" u="none" strike="noStrike" kern="1200" spc="0" baseline="0">
                <a:solidFill>
                  <a:sysClr val="windowText" lastClr="000000">
                    <a:lumMod val="65000"/>
                    <a:lumOff val="35000"/>
                  </a:sysClr>
                </a:solidFill>
                <a:latin typeface="Arial" panose="020B0604020202020204" pitchFamily="34" charset="0"/>
                <a:ea typeface="+mn-ea"/>
                <a:cs typeface="Arial" panose="020B0604020202020204" pitchFamily="34" charset="0"/>
              </a:rPr>
              <a:t>Tăng trưởng</a:t>
            </a:r>
            <a:r>
              <a:rPr lang="en-US" sz="1600" b="0" i="0" u="none" strike="noStrike" kern="1200" spc="0" baseline="0">
                <a:solidFill>
                  <a:sysClr val="windowText" lastClr="000000">
                    <a:lumMod val="65000"/>
                    <a:lumOff val="35000"/>
                  </a:sysClr>
                </a:solidFill>
                <a:latin typeface="Arial" panose="020B0604020202020204" pitchFamily="34" charset="0"/>
                <a:ea typeface="+mn-ea"/>
                <a:cs typeface="Arial" panose="020B0604020202020204" pitchFamily="34" charset="0"/>
              </a:rPr>
              <a:t> hàng tháng</a:t>
            </a:r>
            <a:r>
              <a:rPr lang="vi-VN" sz="1600" b="0" i="0" u="none" strike="noStrike" kern="1200" spc="0" baseline="0">
                <a:solidFill>
                  <a:sysClr val="windowText" lastClr="000000">
                    <a:lumMod val="65000"/>
                    <a:lumOff val="35000"/>
                  </a:sysClr>
                </a:solidFill>
                <a:latin typeface="Arial" panose="020B0604020202020204" pitchFamily="34" charset="0"/>
                <a:ea typeface="+mn-ea"/>
                <a:cs typeface="Arial" panose="020B0604020202020204" pitchFamily="34" charset="0"/>
              </a:rPr>
              <a:t> </a:t>
            </a:r>
            <a:r>
              <a:rPr lang="en-US" sz="1600" b="0" i="0" u="none" strike="noStrike" kern="1200" spc="0" baseline="0">
                <a:solidFill>
                  <a:sysClr val="windowText" lastClr="000000">
                    <a:lumMod val="65000"/>
                    <a:lumOff val="35000"/>
                  </a:sysClr>
                </a:solidFill>
                <a:latin typeface="Arial" panose="020B0604020202020204" pitchFamily="34" charset="0"/>
                <a:ea typeface="+mn-ea"/>
                <a:cs typeface="Arial" panose="020B0604020202020204" pitchFamily="34" charset="0"/>
              </a:rPr>
              <a:t>quỹ VFM</a:t>
            </a:r>
            <a:r>
              <a:rPr lang="vi-VN" sz="1600" b="0" i="0" u="none" strike="noStrike" kern="1200" spc="0" baseline="0">
                <a:solidFill>
                  <a:sysClr val="windowText" lastClr="000000">
                    <a:lumMod val="65000"/>
                    <a:lumOff val="35000"/>
                  </a:sysClr>
                </a:solidFill>
                <a:latin typeface="Arial" panose="020B0604020202020204" pitchFamily="34" charset="0"/>
                <a:ea typeface="+mn-ea"/>
                <a:cs typeface="Arial" panose="020B0604020202020204" pitchFamily="34" charset="0"/>
              </a:rPr>
              <a:t>VF</a:t>
            </a:r>
            <a:r>
              <a:rPr lang="en-US" sz="1600" b="0" i="0" u="none" strike="noStrike" kern="1200" spc="0" baseline="0">
                <a:solidFill>
                  <a:sysClr val="windowText" lastClr="000000">
                    <a:lumMod val="65000"/>
                    <a:lumOff val="35000"/>
                  </a:sysClr>
                </a:solidFill>
                <a:latin typeface="Arial" panose="020B0604020202020204" pitchFamily="34" charset="0"/>
                <a:ea typeface="+mn-ea"/>
                <a:cs typeface="Arial" panose="020B0604020202020204" pitchFamily="34" charset="0"/>
              </a:rPr>
              <a:t>4</a:t>
            </a:r>
          </a:p>
          <a:p>
            <a:pPr>
              <a:defRPr/>
            </a:pPr>
            <a:r>
              <a:rPr lang="en-US" sz="1600" b="0" i="0" u="none" strike="noStrike" kern="1200" spc="0" baseline="0">
                <a:solidFill>
                  <a:sysClr val="windowText" lastClr="000000">
                    <a:lumMod val="65000"/>
                    <a:lumOff val="35000"/>
                  </a:sysClr>
                </a:solidFill>
                <a:latin typeface="Arial" panose="020B0604020202020204" pitchFamily="34" charset="0"/>
                <a:ea typeface="+mn-ea"/>
                <a:cs typeface="Arial" panose="020B0604020202020204" pitchFamily="34" charset="0"/>
              </a:rPr>
              <a:t>giai đoạn 2013 - 2016 </a:t>
            </a:r>
            <a:endParaRPr lang="vi-VN" sz="1400" b="0" i="0" u="none" strike="noStrike" kern="1200" spc="0" baseline="0">
              <a:solidFill>
                <a:sysClr val="windowText" lastClr="000000">
                  <a:lumMod val="65000"/>
                  <a:lumOff val="35000"/>
                </a:sysClr>
              </a:solidFill>
              <a:latin typeface="Arial" panose="020B0604020202020204" pitchFamily="34" charset="0"/>
              <a:ea typeface="+mn-ea"/>
              <a:cs typeface="Arial" panose="020B0604020202020204" pitchFamily="34"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6.0960748327511693E-2"/>
          <c:y val="0.20894308943089432"/>
          <c:w val="0.91465261579144708"/>
          <c:h val="0.59810543499135782"/>
        </c:manualLayout>
      </c:layout>
      <c:lineChart>
        <c:grouping val="standard"/>
        <c:varyColors val="0"/>
        <c:ser>
          <c:idx val="0"/>
          <c:order val="0"/>
          <c:tx>
            <c:strRef>
              <c:f>Sheet1!$F$1</c:f>
              <c:strCache>
                <c:ptCount val="1"/>
                <c:pt idx="0">
                  <c:v>Tăng trưởng VF4</c:v>
                </c:pt>
              </c:strCache>
            </c:strRef>
          </c:tx>
          <c:spPr>
            <a:ln w="28575" cap="rnd">
              <a:solidFill>
                <a:schemeClr val="accent1"/>
              </a:solidFill>
              <a:round/>
            </a:ln>
            <a:effectLst/>
          </c:spPr>
          <c:marker>
            <c:symbol val="none"/>
          </c:marker>
          <c:cat>
            <c:numRef>
              <c:f>Sheet1!$A$2:$A$41</c:f>
              <c:numCache>
                <c:formatCode>d/m/yyyy</c:formatCode>
                <c:ptCount val="40"/>
                <c:pt idx="0">
                  <c:v>41455</c:v>
                </c:pt>
                <c:pt idx="1">
                  <c:v>41486</c:v>
                </c:pt>
                <c:pt idx="2">
                  <c:v>41517</c:v>
                </c:pt>
                <c:pt idx="3">
                  <c:v>41547</c:v>
                </c:pt>
                <c:pt idx="4">
                  <c:v>41578</c:v>
                </c:pt>
                <c:pt idx="5">
                  <c:v>41608</c:v>
                </c:pt>
                <c:pt idx="6">
                  <c:v>41639</c:v>
                </c:pt>
                <c:pt idx="7">
                  <c:v>41670</c:v>
                </c:pt>
                <c:pt idx="8">
                  <c:v>41698</c:v>
                </c:pt>
                <c:pt idx="9">
                  <c:v>41729</c:v>
                </c:pt>
                <c:pt idx="10">
                  <c:v>41759</c:v>
                </c:pt>
                <c:pt idx="11">
                  <c:v>41790</c:v>
                </c:pt>
                <c:pt idx="12">
                  <c:v>41820</c:v>
                </c:pt>
                <c:pt idx="13">
                  <c:v>41851</c:v>
                </c:pt>
                <c:pt idx="14">
                  <c:v>41882</c:v>
                </c:pt>
                <c:pt idx="15">
                  <c:v>41912</c:v>
                </c:pt>
                <c:pt idx="16">
                  <c:v>41943</c:v>
                </c:pt>
                <c:pt idx="17">
                  <c:v>41973</c:v>
                </c:pt>
                <c:pt idx="18">
                  <c:v>42004</c:v>
                </c:pt>
                <c:pt idx="19">
                  <c:v>42035</c:v>
                </c:pt>
                <c:pt idx="20">
                  <c:v>42063</c:v>
                </c:pt>
                <c:pt idx="21">
                  <c:v>42094</c:v>
                </c:pt>
                <c:pt idx="22">
                  <c:v>42124</c:v>
                </c:pt>
                <c:pt idx="23">
                  <c:v>42155</c:v>
                </c:pt>
                <c:pt idx="24">
                  <c:v>42185</c:v>
                </c:pt>
                <c:pt idx="25">
                  <c:v>42216</c:v>
                </c:pt>
                <c:pt idx="26">
                  <c:v>42247</c:v>
                </c:pt>
                <c:pt idx="27">
                  <c:v>42277</c:v>
                </c:pt>
                <c:pt idx="28">
                  <c:v>42308</c:v>
                </c:pt>
                <c:pt idx="29">
                  <c:v>42338</c:v>
                </c:pt>
                <c:pt idx="30">
                  <c:v>42369</c:v>
                </c:pt>
                <c:pt idx="31">
                  <c:v>42400</c:v>
                </c:pt>
                <c:pt idx="32">
                  <c:v>42429</c:v>
                </c:pt>
                <c:pt idx="33">
                  <c:v>42460</c:v>
                </c:pt>
                <c:pt idx="34">
                  <c:v>42490</c:v>
                </c:pt>
                <c:pt idx="35">
                  <c:v>42521</c:v>
                </c:pt>
                <c:pt idx="36">
                  <c:v>42551</c:v>
                </c:pt>
                <c:pt idx="37">
                  <c:v>42582</c:v>
                </c:pt>
                <c:pt idx="38">
                  <c:v>42613</c:v>
                </c:pt>
                <c:pt idx="39">
                  <c:v>42643</c:v>
                </c:pt>
              </c:numCache>
            </c:numRef>
          </c:cat>
          <c:val>
            <c:numRef>
              <c:f>Sheet1!$F$2:$F$41</c:f>
              <c:numCache>
                <c:formatCode>0.00%</c:formatCode>
                <c:ptCount val="40"/>
                <c:pt idx="1">
                  <c:v>2.8241564195588653E-2</c:v>
                </c:pt>
                <c:pt idx="2">
                  <c:v>-1.3338895369604864E-2</c:v>
                </c:pt>
                <c:pt idx="3">
                  <c:v>5.243763813535951E-2</c:v>
                </c:pt>
                <c:pt idx="4">
                  <c:v>7.2226612349366448E-3</c:v>
                </c:pt>
                <c:pt idx="5">
                  <c:v>2.6614012629326611E-2</c:v>
                </c:pt>
                <c:pt idx="6">
                  <c:v>-1.620675977634134E-2</c:v>
                </c:pt>
                <c:pt idx="7">
                  <c:v>0.11268902893221555</c:v>
                </c:pt>
                <c:pt idx="8">
                  <c:v>5.6879390571886068E-2</c:v>
                </c:pt>
                <c:pt idx="9">
                  <c:v>2.8953740422096308E-2</c:v>
                </c:pt>
                <c:pt idx="10">
                  <c:v>-2.7879927350285105E-2</c:v>
                </c:pt>
                <c:pt idx="11">
                  <c:v>-5.8566548740947466E-2</c:v>
                </c:pt>
                <c:pt idx="12">
                  <c:v>3.3836662307721532E-2</c:v>
                </c:pt>
                <c:pt idx="13">
                  <c:v>3.6985469362920131E-2</c:v>
                </c:pt>
                <c:pt idx="14">
                  <c:v>8.5701100466219593E-2</c:v>
                </c:pt>
                <c:pt idx="15">
                  <c:v>-4.4590410922716206E-2</c:v>
                </c:pt>
                <c:pt idx="16">
                  <c:v>-7.1590503179340681E-3</c:v>
                </c:pt>
                <c:pt idx="17">
                  <c:v>-8.0049360698679961E-2</c:v>
                </c:pt>
                <c:pt idx="18">
                  <c:v>-5.6397510406554496E-2</c:v>
                </c:pt>
                <c:pt idx="19">
                  <c:v>3.738555499268359E-2</c:v>
                </c:pt>
                <c:pt idx="20">
                  <c:v>2.0631552386375374E-2</c:v>
                </c:pt>
                <c:pt idx="21">
                  <c:v>-5.4124544533009189E-2</c:v>
                </c:pt>
                <c:pt idx="22">
                  <c:v>1.2759911317233197E-2</c:v>
                </c:pt>
                <c:pt idx="23">
                  <c:v>4.7567575081144176E-2</c:v>
                </c:pt>
                <c:pt idx="24">
                  <c:v>4.4433494847051058E-2</c:v>
                </c:pt>
                <c:pt idx="25">
                  <c:v>6.1780748731320001E-2</c:v>
                </c:pt>
                <c:pt idx="26">
                  <c:v>-6.1355888851037155E-2</c:v>
                </c:pt>
                <c:pt idx="27">
                  <c:v>1.6917075728273279E-2</c:v>
                </c:pt>
                <c:pt idx="28">
                  <c:v>8.3401839581176862E-2</c:v>
                </c:pt>
                <c:pt idx="29">
                  <c:v>-3.7671352634675692E-2</c:v>
                </c:pt>
                <c:pt idx="30">
                  <c:v>2.2508402759482626E-2</c:v>
                </c:pt>
                <c:pt idx="31">
                  <c:v>-4.6551247686528741E-2</c:v>
                </c:pt>
                <c:pt idx="32">
                  <c:v>3.5346899759887362E-2</c:v>
                </c:pt>
                <c:pt idx="33">
                  <c:v>1.1822222260313486E-2</c:v>
                </c:pt>
                <c:pt idx="34">
                  <c:v>3.8632415359690198E-2</c:v>
                </c:pt>
                <c:pt idx="35">
                  <c:v>2.5611304685650982E-2</c:v>
                </c:pt>
                <c:pt idx="36">
                  <c:v>5.5280294319561163E-2</c:v>
                </c:pt>
                <c:pt idx="37">
                  <c:v>3.3710665126882366E-2</c:v>
                </c:pt>
                <c:pt idx="38">
                  <c:v>4.6262499191194184E-2</c:v>
                </c:pt>
                <c:pt idx="39">
                  <c:v>6.1713631874698027E-3</c:v>
                </c:pt>
              </c:numCache>
            </c:numRef>
          </c:val>
          <c:smooth val="0"/>
          <c:extLst>
            <c:ext xmlns:c16="http://schemas.microsoft.com/office/drawing/2014/chart" uri="{C3380CC4-5D6E-409C-BE32-E72D297353CC}">
              <c16:uniqueId val="{00000000-FB2F-4EFE-8C40-5DE641312008}"/>
            </c:ext>
          </c:extLst>
        </c:ser>
        <c:dLbls>
          <c:showLegendKey val="0"/>
          <c:showVal val="0"/>
          <c:showCatName val="0"/>
          <c:showSerName val="0"/>
          <c:showPercent val="0"/>
          <c:showBubbleSize val="0"/>
        </c:dLbls>
        <c:smooth val="0"/>
        <c:axId val="219221696"/>
        <c:axId val="219223008"/>
      </c:lineChart>
      <c:dateAx>
        <c:axId val="219221696"/>
        <c:scaling>
          <c:orientation val="minMax"/>
        </c:scaling>
        <c:delete val="0"/>
        <c:axPos val="b"/>
        <c:numFmt formatCode="d/m/yyyy" sourceLinked="1"/>
        <c:majorTickMark val="out"/>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9223008"/>
        <c:crosses val="autoZero"/>
        <c:auto val="1"/>
        <c:lblOffset val="100"/>
        <c:baseTimeUnit val="months"/>
      </c:dateAx>
      <c:valAx>
        <c:axId val="21922300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922169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2598</Words>
  <Characters>14815</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17379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Pham, Thuy Ngoc</dc:creator>
  <cp:keywords/>
  <dc:description/>
  <cp:lastModifiedBy>Anh Vuong Thi Tram</cp:lastModifiedBy>
  <cp:revision>3</cp:revision>
  <cp:lastPrinted>2016-10-18T07:25:00Z</cp:lastPrinted>
  <dcterms:created xsi:type="dcterms:W3CDTF">2016-10-18T07:26:00Z</dcterms:created>
  <dcterms:modified xsi:type="dcterms:W3CDTF">2016-10-18T07:38:00Z</dcterms:modified>
</cp:coreProperties>
</file>

<file path=package/services/digital-signature/_rels/origin.psdsor.rels>&#65279;<?xml version="1.0" encoding="utf-8"?><Relationships xmlns="http://schemas.openxmlformats.org/package/2006/relationships"><Relationship Type="http://schemas.openxmlformats.org/package/2006/relationships/digital-signature/signature" Target="/package/services/digital-signature/xml-signature/eec09856344b4c6bac7422894b913859.psdsxs" Id="Rb8be872f2eb64dbe" /><Relationship Type="http://schemas.openxmlformats.org/package/2006/relationships/digital-signature/signature" Target="/package/services/digital-signature/xml-signature/b26b5ff93fdd48ecb55ee2d172b387e6.psdsxs" Id="R8926465531de4a6f" /></Relationships>
</file>